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4842C">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eastAsia="黑体" w:cs="Times New Roman"/>
          <w:sz w:val="32"/>
          <w:szCs w:val="32"/>
          <w:lang w:val="en-US"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b w:val="0"/>
          <w:bCs w:val="0"/>
          <w:sz w:val="32"/>
          <w:szCs w:val="32"/>
        </w:rPr>
        <w:t>件</w:t>
      </w:r>
      <w:bookmarkStart w:id="0" w:name="_GoBack"/>
      <w:bookmarkEnd w:id="0"/>
    </w:p>
    <w:p w14:paraId="275EEC95">
      <w:pPr>
        <w:pStyle w:val="2"/>
        <w:spacing w:line="600" w:lineRule="exact"/>
        <w:rPr>
          <w:rFonts w:hint="eastAsia"/>
          <w:lang w:eastAsia="zh-CN"/>
        </w:rPr>
      </w:pPr>
    </w:p>
    <w:p w14:paraId="54B3F4F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红峰二村三区及周边区域更新项目</w:t>
      </w:r>
      <w:r>
        <w:rPr>
          <w:rFonts w:hint="eastAsia" w:eastAsia="方正小标宋_GBK" w:cs="Times New Roman"/>
          <w:sz w:val="44"/>
          <w:szCs w:val="44"/>
          <w:lang w:eastAsia="zh-CN"/>
        </w:rPr>
        <w:t>（</w:t>
      </w:r>
      <w:r>
        <w:rPr>
          <w:rFonts w:hint="eastAsia" w:eastAsia="方正小标宋_GBK" w:cs="Times New Roman"/>
          <w:sz w:val="44"/>
          <w:szCs w:val="44"/>
          <w:lang w:val="en-US" w:eastAsia="zh-CN"/>
        </w:rPr>
        <w:t>东侧区域</w:t>
      </w:r>
      <w:r>
        <w:rPr>
          <w:rFonts w:hint="eastAsia" w:eastAsia="方正小标宋_GBK" w:cs="Times New Roman"/>
          <w:sz w:val="44"/>
          <w:szCs w:val="44"/>
          <w:lang w:eastAsia="zh-CN"/>
        </w:rPr>
        <w:t>）</w:t>
      </w:r>
    </w:p>
    <w:p w14:paraId="6E65949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房屋</w:t>
      </w:r>
      <w:r>
        <w:rPr>
          <w:rFonts w:hint="eastAsia" w:ascii="方正小标宋_GBK" w:hAnsi="方正小标宋_GBK" w:eastAsia="方正小标宋_GBK" w:cs="方正小标宋_GBK"/>
          <w:color w:val="auto"/>
          <w:sz w:val="44"/>
          <w:szCs w:val="44"/>
          <w:lang w:val="en-US" w:eastAsia="zh-CN"/>
        </w:rPr>
        <w:t>征收</w:t>
      </w:r>
      <w:r>
        <w:rPr>
          <w:rFonts w:hint="eastAsia" w:ascii="方正小标宋_GBK" w:hAnsi="方正小标宋_GBK" w:eastAsia="方正小标宋_GBK" w:cs="方正小标宋_GBK"/>
          <w:color w:val="auto"/>
          <w:sz w:val="44"/>
          <w:szCs w:val="44"/>
        </w:rPr>
        <w:t>补偿方案</w:t>
      </w:r>
    </w:p>
    <w:p w14:paraId="28CCADC4">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征求意见稿</w:t>
      </w:r>
      <w:r>
        <w:rPr>
          <w:rFonts w:hint="eastAsia" w:ascii="楷体_GB2312" w:hAnsi="楷体_GB2312" w:eastAsia="楷体_GB2312" w:cs="楷体_GB2312"/>
          <w:b w:val="0"/>
          <w:bCs w:val="0"/>
          <w:color w:val="auto"/>
          <w:sz w:val="32"/>
          <w:szCs w:val="32"/>
          <w:lang w:eastAsia="zh-CN"/>
        </w:rPr>
        <w:t>）</w:t>
      </w:r>
    </w:p>
    <w:p w14:paraId="71B200F2">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rPr>
      </w:pPr>
    </w:p>
    <w:p w14:paraId="2854EE4A">
      <w:pPr>
        <w:adjustRightInd w:val="0"/>
        <w:snapToGrid w:val="0"/>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根据国务院《国有土地上房屋征收与补偿条例》《</w:t>
      </w:r>
      <w:r>
        <w:rPr>
          <w:rFonts w:hint="eastAsia" w:ascii="Times New Roman" w:hAnsi="Times New Roman" w:eastAsia="仿宋_GB2312"/>
          <w:color w:val="auto"/>
          <w:sz w:val="32"/>
          <w:szCs w:val="32"/>
        </w:rPr>
        <w:t>苏州市国有土地上房屋征收与补偿办法</w:t>
      </w:r>
      <w:r>
        <w:rPr>
          <w:rFonts w:ascii="Times New Roman" w:hAnsi="Times New Roman" w:eastAsia="仿宋_GB2312"/>
          <w:color w:val="auto"/>
          <w:sz w:val="32"/>
          <w:szCs w:val="32"/>
        </w:rPr>
        <w:t>》规定，结合调查登记和采样评估等情况，制定本项目房屋征收补偿方案。</w:t>
      </w:r>
    </w:p>
    <w:p w14:paraId="264F0ACB">
      <w:pPr>
        <w:numPr>
          <w:ilvl w:val="0"/>
          <w:numId w:val="1"/>
        </w:numPr>
        <w:adjustRightInd w:val="0"/>
        <w:snapToGrid w:val="0"/>
        <w:spacing w:line="600" w:lineRule="exact"/>
        <w:ind w:firstLine="640" w:firstLineChars="200"/>
        <w:rPr>
          <w:rFonts w:eastAsia="黑体"/>
          <w:color w:val="auto"/>
          <w:sz w:val="32"/>
          <w:szCs w:val="32"/>
        </w:rPr>
      </w:pPr>
      <w:r>
        <w:rPr>
          <w:rFonts w:hint="eastAsia" w:eastAsia="黑体"/>
          <w:color w:val="auto"/>
          <w:sz w:val="32"/>
          <w:szCs w:val="32"/>
          <w:lang w:val="en-US" w:eastAsia="zh-CN"/>
        </w:rPr>
        <w:t>征收</w:t>
      </w:r>
      <w:r>
        <w:rPr>
          <w:rFonts w:eastAsia="黑体"/>
          <w:color w:val="auto"/>
          <w:sz w:val="32"/>
          <w:szCs w:val="32"/>
        </w:rPr>
        <w:t>范围</w:t>
      </w:r>
    </w:p>
    <w:p w14:paraId="67DA0716">
      <w:pPr>
        <w:numPr>
          <w:ilvl w:val="0"/>
          <w:numId w:val="0"/>
        </w:numPr>
        <w:adjustRightInd w:val="0"/>
        <w:snapToGrid w:val="0"/>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仓基街</w:t>
      </w:r>
      <w:r>
        <w:rPr>
          <w:rFonts w:hint="eastAsia" w:eastAsia="仿宋_GB2312" w:cs="Times New Roman"/>
          <w:sz w:val="32"/>
          <w:szCs w:val="32"/>
          <w:lang w:val="en-US" w:eastAsia="zh-CN"/>
        </w:rPr>
        <w:t>96</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上述门牌均为公安编号，具体以房屋</w:t>
      </w:r>
      <w:r>
        <w:rPr>
          <w:rFonts w:hint="eastAsia"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范围图确定的范围为准）</w:t>
      </w:r>
      <w:r>
        <w:rPr>
          <w:rFonts w:hint="eastAsia" w:eastAsia="仿宋_GB2312" w:cs="Times New Roman"/>
          <w:color w:val="auto"/>
          <w:sz w:val="32"/>
          <w:szCs w:val="32"/>
          <w:lang w:eastAsia="zh-CN"/>
        </w:rPr>
        <w:t>。</w:t>
      </w:r>
    </w:p>
    <w:p w14:paraId="352FDA7E">
      <w:pPr>
        <w:adjustRightInd w:val="0"/>
        <w:snapToGrid w:val="0"/>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经调查登记，</w:t>
      </w:r>
      <w:r>
        <w:rPr>
          <w:rFonts w:hint="default" w:ascii="Times New Roman" w:hAnsi="Times New Roman" w:eastAsia="仿宋_GB2312" w:cs="Times New Roman"/>
          <w:color w:val="000000"/>
          <w:sz w:val="32"/>
          <w:szCs w:val="32"/>
        </w:rPr>
        <w:t>本项目共计</w:t>
      </w:r>
      <w:r>
        <w:rPr>
          <w:rFonts w:hint="eastAsia" w:eastAsia="仿宋_GB2312" w:cs="Times New Roman"/>
          <w:color w:val="000000"/>
          <w:sz w:val="32"/>
          <w:szCs w:val="32"/>
          <w:lang w:val="en-US" w:eastAsia="zh-CN"/>
        </w:rPr>
        <w:t>征收1</w:t>
      </w:r>
      <w:r>
        <w:rPr>
          <w:rFonts w:hint="default" w:ascii="Times New Roman" w:hAnsi="Times New Roman" w:eastAsia="仿宋_GB2312" w:cs="Times New Roman"/>
          <w:color w:val="000000"/>
          <w:sz w:val="32"/>
          <w:szCs w:val="32"/>
          <w:lang w:val="en-US" w:eastAsia="zh-CN"/>
        </w:rPr>
        <w:t>户</w:t>
      </w:r>
      <w:r>
        <w:rPr>
          <w:rFonts w:hint="eastAsia" w:eastAsia="仿宋_GB2312" w:cs="Times New Roman"/>
          <w:color w:val="000000"/>
          <w:sz w:val="32"/>
          <w:szCs w:val="32"/>
          <w:lang w:val="en-US" w:eastAsia="zh-CN"/>
        </w:rPr>
        <w:t>商业</w:t>
      </w:r>
      <w:r>
        <w:rPr>
          <w:rFonts w:hint="default" w:ascii="Times New Roman" w:hAnsi="Times New Roman" w:eastAsia="仿宋_GB2312" w:cs="Times New Roman"/>
          <w:color w:val="000000"/>
          <w:sz w:val="32"/>
          <w:szCs w:val="32"/>
          <w:lang w:val="en-US" w:eastAsia="zh-CN"/>
        </w:rPr>
        <w:t>，总建筑面积约</w:t>
      </w:r>
      <w:r>
        <w:rPr>
          <w:rFonts w:hint="eastAsia" w:eastAsia="仿宋_GB2312" w:cs="Times New Roman"/>
          <w:color w:val="000000"/>
          <w:sz w:val="32"/>
          <w:szCs w:val="32"/>
          <w:lang w:val="en-US" w:eastAsia="zh-CN"/>
        </w:rPr>
        <w:t>52</w:t>
      </w:r>
      <w:r>
        <w:rPr>
          <w:rFonts w:hint="default" w:ascii="Times New Roman" w:hAnsi="Times New Roman" w:eastAsia="仿宋_GB2312" w:cs="Times New Roman"/>
          <w:color w:val="000000"/>
          <w:sz w:val="32"/>
          <w:szCs w:val="32"/>
          <w:lang w:val="en-US" w:eastAsia="zh-CN"/>
        </w:rPr>
        <w:t>平方米。</w:t>
      </w:r>
    </w:p>
    <w:p w14:paraId="146ADC16">
      <w:pPr>
        <w:adjustRightInd w:val="0"/>
        <w:snapToGrid w:val="0"/>
        <w:spacing w:line="600" w:lineRule="exact"/>
        <w:ind w:firstLine="640" w:firstLineChars="200"/>
        <w:rPr>
          <w:rFonts w:eastAsia="黑体"/>
          <w:color w:val="auto"/>
          <w:sz w:val="32"/>
          <w:szCs w:val="32"/>
          <w:highlight w:val="none"/>
        </w:rPr>
      </w:pPr>
      <w:r>
        <w:rPr>
          <w:rFonts w:eastAsia="黑体"/>
          <w:color w:val="auto"/>
          <w:sz w:val="32"/>
          <w:szCs w:val="32"/>
          <w:highlight w:val="none"/>
        </w:rPr>
        <w:t>二、实施时间</w:t>
      </w:r>
    </w:p>
    <w:p w14:paraId="596EE6C4">
      <w:pPr>
        <w:numPr>
          <w:ilvl w:val="255"/>
          <w:numId w:val="0"/>
        </w:numPr>
        <w:adjustRightInd w:val="0"/>
        <w:snapToGrid w:val="0"/>
        <w:spacing w:line="600" w:lineRule="exact"/>
        <w:ind w:firstLine="640" w:firstLineChars="200"/>
        <w:rPr>
          <w:rFonts w:eastAsia="仿宋_GB2312"/>
          <w:color w:val="auto"/>
          <w:sz w:val="32"/>
          <w:szCs w:val="32"/>
          <w:highlight w:val="none"/>
        </w:rPr>
      </w:pPr>
      <w:r>
        <w:rPr>
          <w:rFonts w:ascii="Times New Roman" w:hAnsi="Times New Roman" w:eastAsia="仿宋_GB2312"/>
          <w:color w:val="auto"/>
          <w:sz w:val="32"/>
          <w:szCs w:val="32"/>
        </w:rPr>
        <w:t>自房屋征收决定公告之日起</w:t>
      </w:r>
      <w:r>
        <w:rPr>
          <w:rFonts w:eastAsia="仿宋_GB2312"/>
          <w:color w:val="auto"/>
          <w:sz w:val="32"/>
          <w:szCs w:val="32"/>
          <w:highlight w:val="none"/>
        </w:rPr>
        <w:t>。</w:t>
      </w:r>
    </w:p>
    <w:p w14:paraId="33FEC296">
      <w:pPr>
        <w:numPr>
          <w:ilvl w:val="255"/>
          <w:numId w:val="0"/>
        </w:numPr>
        <w:adjustRightInd w:val="0"/>
        <w:snapToGrid w:val="0"/>
        <w:spacing w:line="600" w:lineRule="exact"/>
        <w:ind w:firstLine="640" w:firstLineChars="200"/>
        <w:rPr>
          <w:rFonts w:eastAsia="黑体"/>
          <w:color w:val="auto"/>
          <w:sz w:val="32"/>
          <w:szCs w:val="32"/>
          <w:highlight w:val="none"/>
        </w:rPr>
      </w:pPr>
      <w:r>
        <w:rPr>
          <w:rFonts w:hint="eastAsia" w:eastAsia="黑体"/>
          <w:color w:val="auto"/>
          <w:sz w:val="32"/>
          <w:szCs w:val="32"/>
          <w:highlight w:val="none"/>
        </w:rPr>
        <w:t>三、</w:t>
      </w:r>
      <w:r>
        <w:rPr>
          <w:rFonts w:eastAsia="黑体"/>
          <w:color w:val="auto"/>
          <w:sz w:val="32"/>
          <w:szCs w:val="32"/>
          <w:highlight w:val="none"/>
        </w:rPr>
        <w:t>房屋</w:t>
      </w:r>
      <w:r>
        <w:rPr>
          <w:rFonts w:hint="eastAsia" w:eastAsia="黑体"/>
          <w:color w:val="auto"/>
          <w:sz w:val="32"/>
          <w:szCs w:val="32"/>
          <w:highlight w:val="none"/>
          <w:lang w:val="en-US" w:eastAsia="zh-CN"/>
        </w:rPr>
        <w:t>征收</w:t>
      </w:r>
      <w:r>
        <w:rPr>
          <w:rFonts w:eastAsia="黑体"/>
          <w:color w:val="auto"/>
          <w:sz w:val="32"/>
          <w:szCs w:val="32"/>
          <w:highlight w:val="none"/>
        </w:rPr>
        <w:t>部门和被</w:t>
      </w:r>
      <w:r>
        <w:rPr>
          <w:rFonts w:hint="eastAsia" w:eastAsia="黑体"/>
          <w:color w:val="auto"/>
          <w:sz w:val="32"/>
          <w:szCs w:val="32"/>
          <w:highlight w:val="none"/>
          <w:lang w:val="en-US" w:eastAsia="zh-CN"/>
        </w:rPr>
        <w:t>征收</w:t>
      </w:r>
      <w:r>
        <w:rPr>
          <w:rFonts w:eastAsia="黑体"/>
          <w:color w:val="auto"/>
          <w:sz w:val="32"/>
          <w:szCs w:val="32"/>
          <w:highlight w:val="none"/>
        </w:rPr>
        <w:t>人</w:t>
      </w:r>
    </w:p>
    <w:p w14:paraId="57016933">
      <w:pPr>
        <w:spacing w:line="600" w:lineRule="exact"/>
        <w:ind w:firstLine="632" w:firstLineChars="200"/>
        <w:rPr>
          <w:rFonts w:hint="default" w:ascii="Times New Roman" w:hAnsi="Times New Roman" w:eastAsia="仿宋_GB2312" w:cs="Times New Roman"/>
          <w:spacing w:val="-2"/>
          <w:sz w:val="32"/>
          <w:szCs w:val="32"/>
        </w:rPr>
      </w:pPr>
      <w:r>
        <w:rPr>
          <w:rFonts w:ascii="Times New Roman" w:hAnsi="Times New Roman" w:eastAsia="仿宋_GB2312"/>
          <w:color w:val="auto"/>
          <w:spacing w:val="-2"/>
          <w:sz w:val="32"/>
          <w:szCs w:val="32"/>
        </w:rPr>
        <w:t>房屋征收部门为昆山市住房和城乡建设局。昆山市住房和城乡建设局委托昆山市</w:t>
      </w:r>
      <w:r>
        <w:rPr>
          <w:rFonts w:hint="eastAsia" w:eastAsia="仿宋_GB2312"/>
          <w:color w:val="auto"/>
          <w:spacing w:val="-2"/>
          <w:sz w:val="32"/>
          <w:szCs w:val="32"/>
          <w:lang w:val="en-US" w:eastAsia="zh-CN"/>
        </w:rPr>
        <w:t>亭林</w:t>
      </w:r>
      <w:r>
        <w:rPr>
          <w:rFonts w:ascii="Times New Roman" w:hAnsi="Times New Roman" w:eastAsia="仿宋_GB2312"/>
          <w:color w:val="auto"/>
          <w:spacing w:val="-2"/>
          <w:sz w:val="32"/>
          <w:szCs w:val="32"/>
        </w:rPr>
        <w:t>房屋征收服务事务所有限公司承担本项目房屋征收与补偿的具体工作。</w:t>
      </w:r>
      <w:r>
        <w:rPr>
          <w:rFonts w:hint="default" w:ascii="Times New Roman" w:hAnsi="Times New Roman" w:eastAsia="仿宋_GB2312" w:cs="Times New Roman"/>
          <w:color w:val="auto"/>
          <w:spacing w:val="-2"/>
          <w:sz w:val="32"/>
          <w:szCs w:val="32"/>
        </w:rPr>
        <w:t>被</w:t>
      </w:r>
      <w:r>
        <w:rPr>
          <w:rFonts w:hint="default" w:ascii="Times New Roman" w:hAnsi="Times New Roman" w:eastAsia="仿宋_GB2312" w:cs="Times New Roman"/>
          <w:color w:val="auto"/>
          <w:spacing w:val="-2"/>
          <w:sz w:val="32"/>
          <w:szCs w:val="32"/>
          <w:lang w:val="en-US" w:eastAsia="zh-CN"/>
        </w:rPr>
        <w:t>征收</w:t>
      </w:r>
      <w:r>
        <w:rPr>
          <w:rFonts w:hint="default" w:ascii="Times New Roman" w:hAnsi="Times New Roman" w:eastAsia="仿宋_GB2312" w:cs="Times New Roman"/>
          <w:color w:val="auto"/>
          <w:spacing w:val="-2"/>
          <w:sz w:val="32"/>
          <w:szCs w:val="32"/>
        </w:rPr>
        <w:t>人为</w:t>
      </w:r>
      <w:r>
        <w:rPr>
          <w:rFonts w:hint="default" w:ascii="Times New Roman" w:hAnsi="Times New Roman" w:eastAsia="仿宋_GB2312" w:cs="Times New Roman"/>
          <w:color w:val="auto"/>
          <w:spacing w:val="-2"/>
          <w:sz w:val="32"/>
          <w:szCs w:val="32"/>
          <w:lang w:val="en-US" w:eastAsia="zh-CN"/>
        </w:rPr>
        <w:t>征收</w:t>
      </w:r>
      <w:r>
        <w:rPr>
          <w:rFonts w:hint="default" w:ascii="Times New Roman" w:hAnsi="Times New Roman" w:eastAsia="仿宋_GB2312" w:cs="Times New Roman"/>
          <w:color w:val="auto"/>
          <w:spacing w:val="-2"/>
          <w:sz w:val="32"/>
          <w:szCs w:val="32"/>
        </w:rPr>
        <w:t>范围内被</w:t>
      </w:r>
      <w:r>
        <w:rPr>
          <w:rFonts w:hint="default" w:ascii="Times New Roman" w:hAnsi="Times New Roman" w:eastAsia="仿宋_GB2312" w:cs="Times New Roman"/>
          <w:color w:val="auto"/>
          <w:spacing w:val="-2"/>
          <w:sz w:val="32"/>
          <w:szCs w:val="32"/>
          <w:lang w:val="en-US" w:eastAsia="zh-CN"/>
        </w:rPr>
        <w:t>征收</w:t>
      </w:r>
      <w:r>
        <w:rPr>
          <w:rFonts w:hint="default" w:ascii="Times New Roman" w:hAnsi="Times New Roman" w:eastAsia="仿宋_GB2312" w:cs="Times New Roman"/>
          <w:color w:val="auto"/>
          <w:spacing w:val="-2"/>
          <w:sz w:val="32"/>
          <w:szCs w:val="32"/>
        </w:rPr>
        <w:t>房屋所有权人。</w:t>
      </w:r>
    </w:p>
    <w:p w14:paraId="3F54AFE6">
      <w:pPr>
        <w:adjustRightInd/>
        <w:snapToGrid/>
        <w:spacing w:line="600" w:lineRule="exact"/>
        <w:ind w:firstLine="640" w:firstLineChars="200"/>
        <w:rPr>
          <w:rFonts w:eastAsia="黑体"/>
          <w:color w:val="auto"/>
          <w:sz w:val="32"/>
          <w:szCs w:val="32"/>
        </w:rPr>
      </w:pPr>
      <w:r>
        <w:rPr>
          <w:rFonts w:eastAsia="黑体"/>
          <w:color w:val="auto"/>
          <w:sz w:val="32"/>
          <w:szCs w:val="32"/>
        </w:rPr>
        <w:t>四、</w:t>
      </w:r>
      <w:r>
        <w:rPr>
          <w:rFonts w:hint="default" w:ascii="Times New Roman" w:hAnsi="Times New Roman" w:eastAsia="黑体" w:cs="Times New Roman"/>
          <w:color w:val="auto"/>
          <w:sz w:val="32"/>
          <w:szCs w:val="32"/>
        </w:rPr>
        <w:t>补偿方式与补偿标准</w:t>
      </w:r>
    </w:p>
    <w:p w14:paraId="71656A4B">
      <w:pPr>
        <w:spacing w:line="600" w:lineRule="exact"/>
        <w:ind w:firstLine="643" w:firstLineChars="200"/>
        <w:rPr>
          <w:rFonts w:eastAsia="楷体_GB2312"/>
          <w:b/>
          <w:color w:val="auto"/>
          <w:sz w:val="32"/>
          <w:szCs w:val="32"/>
        </w:rPr>
      </w:pPr>
      <w:r>
        <w:rPr>
          <w:rFonts w:eastAsia="楷体_GB2312"/>
          <w:b/>
          <w:color w:val="auto"/>
          <w:sz w:val="32"/>
          <w:szCs w:val="32"/>
        </w:rPr>
        <w:t>（一）补偿方式</w:t>
      </w:r>
    </w:p>
    <w:p w14:paraId="22C7CFA2">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人可以选择产权调换，也可以选择货币补偿，但下列情形除外：</w:t>
      </w:r>
    </w:p>
    <w:p w14:paraId="7FEE77E8">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非公益事业房屋附属物的，不作产权调换。</w:t>
      </w:r>
    </w:p>
    <w:p w14:paraId="71617B64">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直管公房、单位自有房屋，被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人与公有房屋承租人对解除租赁关系达不成协议的，房屋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部门应当对被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人实行产权调换。</w:t>
      </w:r>
    </w:p>
    <w:p w14:paraId="5378D9F1">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产权调换是</w:t>
      </w:r>
      <w:r>
        <w:rPr>
          <w:rFonts w:hint="default" w:ascii="Times New Roman" w:hAnsi="Times New Roman" w:eastAsia="仿宋_GB2312" w:cs="Times New Roman"/>
          <w:color w:val="auto"/>
          <w:kern w:val="0"/>
          <w:sz w:val="32"/>
          <w:szCs w:val="32"/>
        </w:rPr>
        <w:t>房屋</w:t>
      </w:r>
      <w:r>
        <w:rPr>
          <w:rFonts w:hint="default" w:ascii="Times New Roman" w:hAnsi="Times New Roman" w:eastAsia="仿宋_GB2312" w:cs="Times New Roman"/>
          <w:color w:val="auto"/>
          <w:kern w:val="0"/>
          <w:sz w:val="32"/>
          <w:szCs w:val="32"/>
          <w:lang w:val="en-US" w:eastAsia="zh-CN"/>
        </w:rPr>
        <w:t>征收</w:t>
      </w:r>
      <w:r>
        <w:rPr>
          <w:rFonts w:hint="default" w:ascii="Times New Roman" w:hAnsi="Times New Roman" w:eastAsia="仿宋_GB2312" w:cs="Times New Roman"/>
          <w:color w:val="auto"/>
          <w:kern w:val="0"/>
          <w:sz w:val="32"/>
          <w:szCs w:val="32"/>
        </w:rPr>
        <w:t>部门提供用于产权调换的房屋，并与被</w:t>
      </w:r>
      <w:r>
        <w:rPr>
          <w:rFonts w:hint="default" w:ascii="Times New Roman" w:hAnsi="Times New Roman" w:eastAsia="仿宋_GB2312" w:cs="Times New Roman"/>
          <w:color w:val="auto"/>
          <w:kern w:val="0"/>
          <w:sz w:val="32"/>
          <w:szCs w:val="32"/>
          <w:lang w:val="en-US" w:eastAsia="zh-CN"/>
        </w:rPr>
        <w:t>征收</w:t>
      </w:r>
      <w:r>
        <w:rPr>
          <w:rFonts w:hint="default" w:ascii="Times New Roman" w:hAnsi="Times New Roman" w:eastAsia="仿宋_GB2312" w:cs="Times New Roman"/>
          <w:color w:val="auto"/>
          <w:kern w:val="0"/>
          <w:sz w:val="32"/>
          <w:szCs w:val="32"/>
        </w:rPr>
        <w:t>人计算、结清被</w:t>
      </w:r>
      <w:r>
        <w:rPr>
          <w:rFonts w:hint="default" w:ascii="Times New Roman" w:hAnsi="Times New Roman" w:eastAsia="仿宋_GB2312" w:cs="Times New Roman"/>
          <w:color w:val="auto"/>
          <w:kern w:val="0"/>
          <w:sz w:val="32"/>
          <w:szCs w:val="32"/>
          <w:lang w:val="en-US" w:eastAsia="zh-CN"/>
        </w:rPr>
        <w:t>征收</w:t>
      </w:r>
      <w:r>
        <w:rPr>
          <w:rFonts w:hint="default" w:ascii="Times New Roman" w:hAnsi="Times New Roman" w:eastAsia="仿宋_GB2312" w:cs="Times New Roman"/>
          <w:color w:val="auto"/>
          <w:kern w:val="0"/>
          <w:sz w:val="32"/>
          <w:szCs w:val="32"/>
        </w:rPr>
        <w:t>房屋价值与产权调换房屋价值的差价，</w:t>
      </w:r>
      <w:r>
        <w:rPr>
          <w:rFonts w:hint="default" w:ascii="Times New Roman" w:hAnsi="Times New Roman" w:eastAsia="仿宋_GB2312" w:cs="Times New Roman"/>
          <w:color w:val="auto"/>
          <w:kern w:val="0"/>
          <w:sz w:val="32"/>
          <w:szCs w:val="32"/>
          <w:lang w:val="en-US" w:eastAsia="zh-CN"/>
        </w:rPr>
        <w:t>征收</w:t>
      </w:r>
      <w:r>
        <w:rPr>
          <w:rFonts w:hint="default" w:ascii="Times New Roman" w:hAnsi="Times New Roman" w:eastAsia="仿宋_GB2312" w:cs="Times New Roman"/>
          <w:color w:val="auto"/>
          <w:kern w:val="0"/>
          <w:sz w:val="32"/>
          <w:szCs w:val="32"/>
        </w:rPr>
        <w:t>补偿安置协议约定其他结清方式的除外</w:t>
      </w:r>
      <w:r>
        <w:rPr>
          <w:rFonts w:hint="default" w:ascii="Times New Roman" w:hAnsi="Times New Roman" w:eastAsia="仿宋_GB2312" w:cs="Times New Roman"/>
          <w:color w:val="auto"/>
          <w:sz w:val="32"/>
          <w:szCs w:val="32"/>
        </w:rPr>
        <w:t>。</w:t>
      </w:r>
    </w:p>
    <w:p w14:paraId="552B2D88">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 货币补偿是指在房屋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补偿中，以市场评估价为标准，对被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房屋的所有权人进行货币形式的补偿。</w:t>
      </w:r>
    </w:p>
    <w:p w14:paraId="25348AC7">
      <w:pPr>
        <w:spacing w:line="600" w:lineRule="exact"/>
        <w:ind w:firstLine="643" w:firstLineChars="200"/>
        <w:rPr>
          <w:rFonts w:eastAsia="楷体_GB2312"/>
          <w:b/>
          <w:bCs/>
          <w:color w:val="auto"/>
          <w:sz w:val="32"/>
          <w:szCs w:val="32"/>
        </w:rPr>
      </w:pPr>
      <w:r>
        <w:rPr>
          <w:rFonts w:eastAsia="楷体_GB2312"/>
          <w:b/>
          <w:bCs/>
          <w:color w:val="auto"/>
          <w:sz w:val="32"/>
          <w:szCs w:val="32"/>
        </w:rPr>
        <w:t>（二）</w:t>
      </w:r>
      <w:r>
        <w:rPr>
          <w:rFonts w:hint="eastAsia" w:eastAsia="楷体_GB2312"/>
          <w:b/>
          <w:bCs/>
          <w:color w:val="auto"/>
          <w:sz w:val="32"/>
          <w:szCs w:val="32"/>
          <w:lang w:val="en-US" w:eastAsia="zh-CN"/>
        </w:rPr>
        <w:t>征收</w:t>
      </w:r>
      <w:r>
        <w:rPr>
          <w:rFonts w:hint="eastAsia" w:eastAsia="楷体_GB2312"/>
          <w:b/>
          <w:bCs/>
          <w:color w:val="auto"/>
          <w:sz w:val="32"/>
          <w:szCs w:val="32"/>
        </w:rPr>
        <w:t>评估</w:t>
      </w:r>
    </w:p>
    <w:p w14:paraId="102E3BF2">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评估机构的选择方式</w:t>
      </w:r>
    </w:p>
    <w:p w14:paraId="102E3BF3">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部门将就本项目的房地产价格评估工作向社会限期公开征集自愿参与的评估机构，并将在</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范围内公布在限期内自愿报名参与本项目评估工作的具备国有土地上房屋征收评估资质的房地产价格评估机构。由被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人在公布后5</w:t>
      </w:r>
      <w:r>
        <w:rPr>
          <w:rFonts w:hint="eastAsia" w:eastAsia="仿宋_GB2312" w:cs="Times New Roman"/>
          <w:color w:val="auto"/>
          <w:sz w:val="32"/>
          <w:szCs w:val="32"/>
          <w:lang w:val="en-US" w:eastAsia="zh-CN"/>
        </w:rPr>
        <w:t>个工作</w:t>
      </w:r>
      <w:r>
        <w:rPr>
          <w:rFonts w:hint="default" w:ascii="Times New Roman" w:hAnsi="Times New Roman" w:eastAsia="仿宋_GB2312" w:cs="Times New Roman"/>
          <w:color w:val="auto"/>
          <w:sz w:val="32"/>
          <w:szCs w:val="32"/>
        </w:rPr>
        <w:t>日内在</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现场办公地点登记被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人的选择意见，被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人协商一致共同选择一家房地产价格评估机构的，视为协商选择成功，由房屋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部门与该房地产价格评估机构签订委托评估合同进行评估作业；协商选定不成，由房屋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部门组织被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人在公布的名录中公开抽签确定，房屋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部门应当在抽签前5日内在</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范围内公告抽签时间和地点。抽签过程和结果，应当经过公证机构现场公证。</w:t>
      </w:r>
    </w:p>
    <w:p w14:paraId="4AC90CE9">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按照上述方式选定或确定的房地产价格评估机构在</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项目实施期间因为停业、吊销、注销、拒不履行等原因无法继续担任评估工作的，由剩余未签约的被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人按照上述方法协商一致共同选定一家房地产价格评估机构。协商选定不成的，按照上述方式通过抽签方式确定房地产价格评估机构。</w:t>
      </w:r>
    </w:p>
    <w:p w14:paraId="1E6623E2">
      <w:pPr>
        <w:numPr>
          <w:ilvl w:val="0"/>
          <w:numId w:val="2"/>
        </w:num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被</w:t>
      </w:r>
      <w:r>
        <w:rPr>
          <w:rFonts w:hint="eastAsia" w:eastAsia="仿宋_GB2312"/>
          <w:color w:val="auto"/>
          <w:sz w:val="32"/>
          <w:szCs w:val="32"/>
          <w:highlight w:val="none"/>
          <w:lang w:val="en-US" w:eastAsia="zh-CN"/>
        </w:rPr>
        <w:t>征收</w:t>
      </w:r>
      <w:r>
        <w:rPr>
          <w:rFonts w:hint="eastAsia" w:eastAsia="仿宋_GB2312"/>
          <w:color w:val="auto"/>
          <w:sz w:val="32"/>
          <w:szCs w:val="32"/>
          <w:highlight w:val="none"/>
        </w:rPr>
        <w:t>人对评估报告有异议的处理方法</w:t>
      </w:r>
    </w:p>
    <w:p w14:paraId="102E3BF6">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房地产评估机构应当安排注册房地产估价师对分户的初步评估结果进行现场说明。被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人认为公示的分户的初步评估结果存在错误的，由房地产评估机构核实，如确有错误的，应当修正。</w:t>
      </w:r>
    </w:p>
    <w:p w14:paraId="102E3BF7">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人对送达的分户评估报告有异议的，应当自收到评估报告之日起</w:t>
      </w:r>
      <w:r>
        <w:rPr>
          <w:rFonts w:hint="eastAsia" w:eastAsia="仿宋_GB2312"/>
          <w:color w:val="auto"/>
          <w:sz w:val="32"/>
          <w:szCs w:val="32"/>
          <w:highlight w:val="none"/>
          <w:lang w:val="en-US" w:eastAsia="zh-CN"/>
        </w:rPr>
        <w:t>10</w:t>
      </w:r>
      <w:r>
        <w:rPr>
          <w:rFonts w:hint="default" w:ascii="Times New Roman" w:hAnsi="Times New Roman" w:eastAsia="仿宋_GB2312" w:cs="Times New Roman"/>
          <w:color w:val="auto"/>
          <w:sz w:val="32"/>
          <w:szCs w:val="32"/>
        </w:rPr>
        <w:t>日内，向房地产价格评估机构申请复核评估。申请复核评估的，应当向原房地产价格评估机构提出书面复核评估申请，并指出评估报告存在的问题。</w:t>
      </w:r>
    </w:p>
    <w:p w14:paraId="102E3BF8">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房地产价格评估机构自收到复核评估申请之日起</w:t>
      </w:r>
      <w:r>
        <w:rPr>
          <w:rFonts w:hint="eastAsia" w:eastAsia="仿宋_GB2312"/>
          <w:color w:val="auto"/>
          <w:sz w:val="32"/>
          <w:szCs w:val="32"/>
          <w:highlight w:val="none"/>
          <w:lang w:val="en-US" w:eastAsia="zh-CN"/>
        </w:rPr>
        <w:t>10</w:t>
      </w:r>
      <w:r>
        <w:rPr>
          <w:rFonts w:hint="default" w:ascii="Times New Roman" w:hAnsi="Times New Roman" w:eastAsia="仿宋_GB2312" w:cs="Times New Roman"/>
          <w:color w:val="auto"/>
          <w:sz w:val="32"/>
          <w:szCs w:val="32"/>
        </w:rPr>
        <w:t>日内对评估结果进行复核。复核后，改变原评估结果的，应当重新出具评估报告；评估结果没有发生改变的，应当书面告知复核评估申请人。</w:t>
      </w:r>
    </w:p>
    <w:p w14:paraId="4105173B">
      <w:pPr>
        <w:spacing w:line="60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被征收人对房地产价格评估机构的复核结果有异议的，应当自收到复核结果之日起</w:t>
      </w:r>
      <w:r>
        <w:rPr>
          <w:rFonts w:hint="eastAsia" w:eastAsia="仿宋_GB2312"/>
          <w:color w:val="auto"/>
          <w:sz w:val="32"/>
          <w:szCs w:val="32"/>
          <w:highlight w:val="none"/>
          <w:lang w:val="en-US" w:eastAsia="zh-CN"/>
        </w:rPr>
        <w:t>10</w:t>
      </w:r>
      <w:r>
        <w:rPr>
          <w:rFonts w:ascii="Times New Roman" w:hAnsi="Times New Roman" w:eastAsia="仿宋_GB2312"/>
          <w:color w:val="auto"/>
          <w:sz w:val="32"/>
          <w:szCs w:val="32"/>
          <w:highlight w:val="none"/>
        </w:rPr>
        <w:t>日内，向被征收房屋所在地房地产评估专家委员会申请鉴定。</w:t>
      </w:r>
    </w:p>
    <w:p w14:paraId="66F78786">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highlight w:val="none"/>
        </w:rPr>
        <w:t>受理房屋征收评估鉴定后，房地产评估专家委员会应当自收到鉴定申请之日起</w:t>
      </w:r>
      <w:r>
        <w:rPr>
          <w:rFonts w:hint="eastAsia" w:eastAsia="仿宋_GB2312"/>
          <w:color w:val="auto"/>
          <w:sz w:val="32"/>
          <w:szCs w:val="32"/>
          <w:highlight w:val="none"/>
          <w:lang w:val="en-US" w:eastAsia="zh-CN"/>
        </w:rPr>
        <w:t>10</w:t>
      </w:r>
      <w:r>
        <w:rPr>
          <w:rFonts w:ascii="Times New Roman" w:hAnsi="Times New Roman" w:eastAsia="仿宋_GB2312"/>
          <w:color w:val="auto"/>
          <w:sz w:val="32"/>
          <w:szCs w:val="32"/>
          <w:highlight w:val="none"/>
        </w:rPr>
        <w:t>日内，指派3人以上单数成员组成鉴定组，处理房屋征收评估鉴定事宜，并出具书面</w:t>
      </w:r>
      <w:r>
        <w:rPr>
          <w:rFonts w:ascii="Times New Roman" w:hAnsi="Times New Roman" w:eastAsia="仿宋_GB2312"/>
          <w:color w:val="auto"/>
          <w:sz w:val="32"/>
          <w:szCs w:val="32"/>
        </w:rPr>
        <w:t>鉴定意见。</w:t>
      </w:r>
    </w:p>
    <w:p w14:paraId="1174F1DC">
      <w:pPr>
        <w:adjustRightInd w:val="0"/>
        <w:snapToGrid w:val="0"/>
        <w:spacing w:line="600" w:lineRule="exact"/>
        <w:ind w:firstLine="640" w:firstLineChars="200"/>
        <w:rPr>
          <w:rFonts w:hint="default" w:ascii="Times New Roman" w:hAnsi="Times New Roman" w:eastAsia="楷体_GB2312" w:cs="Times New Roman"/>
          <w:b/>
          <w:bCs/>
          <w:color w:val="auto"/>
          <w:sz w:val="32"/>
          <w:szCs w:val="32"/>
        </w:rPr>
      </w:pPr>
      <w:r>
        <w:rPr>
          <w:rFonts w:hint="eastAsia" w:eastAsia="仿宋_GB2312"/>
          <w:color w:val="auto"/>
          <w:sz w:val="32"/>
          <w:szCs w:val="32"/>
          <w:lang w:val="en-US" w:eastAsia="zh-CN"/>
        </w:rPr>
        <w:t xml:space="preserve">3. </w:t>
      </w:r>
      <w:r>
        <w:rPr>
          <w:rFonts w:ascii="Times New Roman" w:hAnsi="Times New Roman" w:eastAsia="仿宋_GB2312"/>
          <w:color w:val="auto"/>
          <w:sz w:val="32"/>
          <w:szCs w:val="32"/>
        </w:rPr>
        <w:t>被征收房屋</w:t>
      </w:r>
      <w:r>
        <w:rPr>
          <w:rFonts w:hint="eastAsia" w:eastAsia="仿宋_GB2312"/>
          <w:color w:val="auto"/>
          <w:sz w:val="32"/>
          <w:szCs w:val="32"/>
          <w:lang w:val="en-US" w:eastAsia="zh-CN"/>
        </w:rPr>
        <w:t>与产权调换房屋的</w:t>
      </w:r>
      <w:r>
        <w:rPr>
          <w:rFonts w:ascii="Times New Roman" w:hAnsi="Times New Roman" w:eastAsia="仿宋_GB2312"/>
          <w:color w:val="auto"/>
          <w:sz w:val="32"/>
          <w:szCs w:val="32"/>
        </w:rPr>
        <w:t>评估价值时点为房屋征收决定公告之日。</w:t>
      </w:r>
    </w:p>
    <w:p w14:paraId="59393043">
      <w:pPr>
        <w:adjustRightInd w:val="0"/>
        <w:snapToGrid w:val="0"/>
        <w:spacing w:line="600" w:lineRule="exact"/>
        <w:ind w:firstLine="643" w:firstLineChars="200"/>
        <w:rPr>
          <w:rFonts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val="en-US" w:eastAsia="zh-CN"/>
        </w:rPr>
        <w:t>三</w:t>
      </w:r>
      <w:r>
        <w:rPr>
          <w:rFonts w:hint="default" w:ascii="Times New Roman" w:hAnsi="Times New Roman" w:eastAsia="楷体_GB2312" w:cs="Times New Roman"/>
          <w:b/>
          <w:bCs/>
          <w:color w:val="auto"/>
          <w:sz w:val="32"/>
          <w:szCs w:val="32"/>
        </w:rPr>
        <w:t>）计户规则及房屋所有人、房屋性质、面积认定标准</w:t>
      </w:r>
    </w:p>
    <w:p w14:paraId="7E4BAAD5">
      <w:pPr>
        <w:adjustRightInd w:val="0"/>
        <w:snapToGrid w:val="0"/>
        <w:spacing w:line="600" w:lineRule="exact"/>
        <w:ind w:firstLine="640" w:firstLineChars="200"/>
        <w:rPr>
          <w:rFonts w:eastAsia="仿宋_GB2312"/>
          <w:color w:val="auto"/>
          <w:sz w:val="32"/>
          <w:szCs w:val="32"/>
        </w:rPr>
      </w:pPr>
      <w:r>
        <w:rPr>
          <w:rFonts w:eastAsia="仿宋_GB2312"/>
          <w:color w:val="auto"/>
          <w:sz w:val="32"/>
          <w:szCs w:val="32"/>
        </w:rPr>
        <w:t>1. 计户规则</w:t>
      </w:r>
    </w:p>
    <w:p w14:paraId="7DA14A2E">
      <w:pPr>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eastAsia" w:eastAsia="仿宋_GB2312"/>
          <w:color w:val="auto"/>
          <w:kern w:val="0"/>
          <w:sz w:val="32"/>
          <w:szCs w:val="32"/>
          <w:lang w:val="en-US" w:eastAsia="zh-CN"/>
        </w:rPr>
        <w:t>征收</w:t>
      </w:r>
      <w:r>
        <w:rPr>
          <w:rFonts w:hint="default" w:ascii="Times New Roman" w:hAnsi="Times New Roman" w:eastAsia="仿宋_GB2312" w:cs="Times New Roman"/>
          <w:color w:val="auto"/>
          <w:kern w:val="0"/>
          <w:sz w:val="32"/>
          <w:szCs w:val="32"/>
        </w:rPr>
        <w:t>非住宅房屋按以下规则计户：自用房屋以房屋所有权证、不动产权证书计户。</w:t>
      </w:r>
      <w:r>
        <w:rPr>
          <w:rFonts w:hint="default" w:ascii="Times New Roman" w:hAnsi="Times New Roman" w:eastAsia="仿宋_GB2312" w:cs="Times New Roman"/>
          <w:color w:val="auto"/>
          <w:spacing w:val="-6"/>
          <w:kern w:val="0"/>
          <w:sz w:val="32"/>
          <w:szCs w:val="32"/>
        </w:rPr>
        <w:t>同一非住宅有多本</w:t>
      </w:r>
      <w:r>
        <w:rPr>
          <w:rFonts w:hint="default" w:ascii="Times New Roman" w:hAnsi="Times New Roman" w:eastAsia="仿宋_GB2312" w:cs="Times New Roman"/>
          <w:color w:val="auto"/>
          <w:kern w:val="0"/>
          <w:sz w:val="32"/>
          <w:szCs w:val="32"/>
        </w:rPr>
        <w:t>房屋所有权证、不动产权证书</w:t>
      </w:r>
      <w:r>
        <w:rPr>
          <w:rFonts w:hint="default" w:ascii="Times New Roman" w:hAnsi="Times New Roman" w:eastAsia="仿宋_GB2312" w:cs="Times New Roman"/>
          <w:color w:val="auto"/>
          <w:spacing w:val="-6"/>
          <w:kern w:val="0"/>
          <w:sz w:val="32"/>
          <w:szCs w:val="32"/>
        </w:rPr>
        <w:t>的，按一户计。</w:t>
      </w:r>
    </w:p>
    <w:p w14:paraId="13763AA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非住宅的认定</w:t>
      </w:r>
    </w:p>
    <w:p w14:paraId="103A266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按照不动产登记簿记载的用途认定，不动产登记簿未记载或者记载不明确的，按照设计用途认定，法律法规另有规定的除外</w:t>
      </w:r>
      <w:r>
        <w:rPr>
          <w:rFonts w:hint="eastAsia" w:eastAsia="仿宋_GB2312" w:cs="Times New Roman"/>
          <w:color w:val="auto"/>
          <w:sz w:val="32"/>
          <w:szCs w:val="32"/>
          <w:lang w:val="en-US" w:eastAsia="zh-CN"/>
        </w:rPr>
        <w:t xml:space="preserve">。    </w:t>
      </w:r>
    </w:p>
    <w:p w14:paraId="3F1EC34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 xml:space="preserve">3. </w:t>
      </w:r>
      <w:r>
        <w:rPr>
          <w:rFonts w:hint="default" w:ascii="Times New Roman" w:hAnsi="Times New Roman" w:eastAsia="仿宋_GB2312" w:cs="Times New Roman"/>
          <w:color w:val="auto"/>
          <w:sz w:val="32"/>
          <w:szCs w:val="32"/>
        </w:rPr>
        <w:t>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房屋建筑面积认定</w:t>
      </w:r>
    </w:p>
    <w:p w14:paraId="4F8CDAAC">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部门在对房屋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范围内的房屋的权属、区位、用途、建筑面积等组织调查登记过程</w:t>
      </w:r>
      <w:r>
        <w:rPr>
          <w:rFonts w:hint="default" w:ascii="Times New Roman" w:hAnsi="Times New Roman" w:eastAsia="仿宋_GB2312" w:cs="Times New Roman"/>
          <w:color w:val="auto"/>
          <w:sz w:val="32"/>
          <w:szCs w:val="32"/>
          <w:highlight w:val="none"/>
        </w:rPr>
        <w:t>中，委托房屋测绘机构对被</w:t>
      </w:r>
      <w:r>
        <w:rPr>
          <w:rFonts w:hint="default" w:ascii="Times New Roman" w:hAnsi="Times New Roman" w:eastAsia="仿宋_GB2312" w:cs="Times New Roman"/>
          <w:color w:val="auto"/>
          <w:sz w:val="32"/>
          <w:szCs w:val="32"/>
          <w:highlight w:val="none"/>
          <w:lang w:val="en-US" w:eastAsia="zh-CN"/>
        </w:rPr>
        <w:t>征收</w:t>
      </w:r>
      <w:r>
        <w:rPr>
          <w:rFonts w:hint="default" w:ascii="Times New Roman" w:hAnsi="Times New Roman" w:eastAsia="仿宋_GB2312" w:cs="Times New Roman"/>
          <w:color w:val="auto"/>
          <w:sz w:val="32"/>
          <w:szCs w:val="32"/>
          <w:highlight w:val="none"/>
        </w:rPr>
        <w:t>房屋的建筑面积进行测绘获得的被</w:t>
      </w:r>
      <w:r>
        <w:rPr>
          <w:rFonts w:hint="default" w:ascii="Times New Roman" w:hAnsi="Times New Roman" w:eastAsia="仿宋_GB2312" w:cs="Times New Roman"/>
          <w:color w:val="auto"/>
          <w:sz w:val="32"/>
          <w:szCs w:val="32"/>
          <w:highlight w:val="none"/>
          <w:lang w:val="en-US" w:eastAsia="zh-CN"/>
        </w:rPr>
        <w:t>征收</w:t>
      </w:r>
      <w:r>
        <w:rPr>
          <w:rFonts w:hint="default" w:ascii="Times New Roman" w:hAnsi="Times New Roman" w:eastAsia="仿宋_GB2312" w:cs="Times New Roman"/>
          <w:color w:val="auto"/>
          <w:sz w:val="32"/>
          <w:szCs w:val="32"/>
          <w:highlight w:val="none"/>
        </w:rPr>
        <w:t>房屋的建筑面积，如大于不动产登记簿记载的被</w:t>
      </w:r>
      <w:r>
        <w:rPr>
          <w:rFonts w:hint="default" w:ascii="Times New Roman" w:hAnsi="Times New Roman" w:eastAsia="仿宋_GB2312" w:cs="Times New Roman"/>
          <w:color w:val="auto"/>
          <w:sz w:val="32"/>
          <w:szCs w:val="32"/>
          <w:highlight w:val="none"/>
          <w:lang w:val="en-US" w:eastAsia="zh-CN"/>
        </w:rPr>
        <w:t>征收</w:t>
      </w:r>
      <w:r>
        <w:rPr>
          <w:rFonts w:hint="default" w:ascii="Times New Roman" w:hAnsi="Times New Roman" w:eastAsia="仿宋_GB2312" w:cs="Times New Roman"/>
          <w:color w:val="auto"/>
          <w:sz w:val="32"/>
          <w:szCs w:val="32"/>
          <w:highlight w:val="none"/>
        </w:rPr>
        <w:t>房屋建筑面积的</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则被</w:t>
      </w:r>
      <w:r>
        <w:rPr>
          <w:rFonts w:hint="default" w:ascii="Times New Roman" w:hAnsi="Times New Roman" w:eastAsia="仿宋_GB2312" w:cs="Times New Roman"/>
          <w:color w:val="auto"/>
          <w:sz w:val="32"/>
          <w:szCs w:val="32"/>
          <w:highlight w:val="none"/>
          <w:lang w:val="en-US" w:eastAsia="zh-CN"/>
        </w:rPr>
        <w:t>征收</w:t>
      </w:r>
      <w:r>
        <w:rPr>
          <w:rFonts w:hint="default" w:ascii="Times New Roman" w:hAnsi="Times New Roman" w:eastAsia="仿宋_GB2312" w:cs="Times New Roman"/>
          <w:color w:val="auto"/>
          <w:sz w:val="32"/>
          <w:szCs w:val="32"/>
          <w:highlight w:val="none"/>
        </w:rPr>
        <w:t>房屋的建筑面积按测绘面积认定；若测绘面积小于不动产登记簿记载的被</w:t>
      </w:r>
      <w:r>
        <w:rPr>
          <w:rFonts w:hint="default" w:ascii="Times New Roman" w:hAnsi="Times New Roman" w:eastAsia="仿宋_GB2312" w:cs="Times New Roman"/>
          <w:color w:val="auto"/>
          <w:sz w:val="32"/>
          <w:szCs w:val="32"/>
          <w:highlight w:val="none"/>
          <w:lang w:val="en-US" w:eastAsia="zh-CN"/>
        </w:rPr>
        <w:t>征收</w:t>
      </w:r>
      <w:r>
        <w:rPr>
          <w:rFonts w:hint="default" w:ascii="Times New Roman" w:hAnsi="Times New Roman" w:eastAsia="仿宋_GB2312" w:cs="Times New Roman"/>
          <w:color w:val="auto"/>
          <w:spacing w:val="-6"/>
          <w:kern w:val="0"/>
          <w:sz w:val="32"/>
          <w:szCs w:val="32"/>
          <w:highlight w:val="none"/>
        </w:rPr>
        <w:t>房屋建筑面积的，则</w:t>
      </w:r>
      <w:r>
        <w:rPr>
          <w:rFonts w:hint="default" w:ascii="Times New Roman" w:hAnsi="Times New Roman" w:eastAsia="仿宋_GB2312" w:cs="Times New Roman"/>
          <w:color w:val="auto"/>
          <w:sz w:val="32"/>
          <w:szCs w:val="32"/>
          <w:highlight w:val="none"/>
        </w:rPr>
        <w:t>被</w:t>
      </w:r>
      <w:r>
        <w:rPr>
          <w:rFonts w:hint="default" w:ascii="Times New Roman" w:hAnsi="Times New Roman" w:eastAsia="仿宋_GB2312" w:cs="Times New Roman"/>
          <w:color w:val="auto"/>
          <w:sz w:val="32"/>
          <w:szCs w:val="32"/>
          <w:highlight w:val="none"/>
          <w:lang w:val="en-US" w:eastAsia="zh-CN"/>
        </w:rPr>
        <w:t>征收</w:t>
      </w:r>
      <w:r>
        <w:rPr>
          <w:rFonts w:hint="default" w:ascii="Times New Roman" w:hAnsi="Times New Roman" w:eastAsia="仿宋_GB2312" w:cs="Times New Roman"/>
          <w:color w:val="auto"/>
          <w:sz w:val="32"/>
          <w:szCs w:val="32"/>
          <w:highlight w:val="none"/>
        </w:rPr>
        <w:t>房屋的建筑面积按不动产登记簿记载的建筑面积认定。</w:t>
      </w:r>
      <w:r>
        <w:rPr>
          <w:rFonts w:hint="default" w:ascii="Times New Roman" w:hAnsi="Times New Roman" w:eastAsia="仿宋_GB2312" w:cs="Times New Roman"/>
          <w:color w:val="auto"/>
          <w:sz w:val="32"/>
          <w:szCs w:val="32"/>
        </w:rPr>
        <w:t>未经登记的建筑，</w:t>
      </w:r>
      <w:r>
        <w:rPr>
          <w:rFonts w:hint="eastAsia"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rPr>
        <w:t>市政府组织自然资源和规划、住房和城乡建设（城市管理）等相关部门依法进行认定和处理</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如认定为合法建设和未超过批准期限的临时建筑的，其建筑面积按测绘面积认定。</w:t>
      </w:r>
    </w:p>
    <w:p w14:paraId="4DEE932A">
      <w:pPr>
        <w:spacing w:line="600" w:lineRule="exact"/>
        <w:ind w:firstLine="643" w:firstLineChars="200"/>
        <w:rPr>
          <w:rFonts w:ascii="Times New Roman" w:hAnsi="Times New Roman" w:eastAsia="楷体_GB2312"/>
          <w:b/>
          <w:bCs/>
          <w:color w:val="auto"/>
          <w:sz w:val="32"/>
          <w:szCs w:val="32"/>
        </w:rPr>
      </w:pPr>
      <w:r>
        <w:rPr>
          <w:rFonts w:ascii="Times New Roman" w:hAnsi="Times New Roman" w:eastAsia="楷体_GB2312"/>
          <w:b/>
          <w:bCs/>
          <w:color w:val="auto"/>
          <w:sz w:val="32"/>
          <w:szCs w:val="32"/>
        </w:rPr>
        <w:t>（</w:t>
      </w:r>
      <w:r>
        <w:rPr>
          <w:rFonts w:hint="eastAsia" w:eastAsia="楷体_GB2312"/>
          <w:b/>
          <w:bCs/>
          <w:color w:val="auto"/>
          <w:sz w:val="32"/>
          <w:szCs w:val="32"/>
          <w:lang w:val="en-US" w:eastAsia="zh-CN"/>
        </w:rPr>
        <w:t>四</w:t>
      </w:r>
      <w:r>
        <w:rPr>
          <w:rFonts w:ascii="Times New Roman" w:hAnsi="Times New Roman" w:eastAsia="楷体_GB2312"/>
          <w:b/>
          <w:bCs/>
          <w:color w:val="auto"/>
          <w:sz w:val="32"/>
          <w:szCs w:val="32"/>
        </w:rPr>
        <w:t>）不履行市政府作出的征收补偿决定的处理方法</w:t>
      </w:r>
    </w:p>
    <w:p w14:paraId="530C2018">
      <w:pPr>
        <w:spacing w:line="600" w:lineRule="exact"/>
        <w:ind w:firstLine="632" w:firstLineChars="200"/>
        <w:rPr>
          <w:rFonts w:ascii="Times New Roman" w:hAnsi="Times New Roman" w:eastAsia="仿宋_GB2312"/>
          <w:color w:val="auto"/>
          <w:spacing w:val="-2"/>
          <w:sz w:val="32"/>
          <w:szCs w:val="32"/>
        </w:rPr>
      </w:pPr>
      <w:r>
        <w:rPr>
          <w:rFonts w:ascii="Times New Roman" w:hAnsi="Times New Roman" w:eastAsia="仿宋_GB2312"/>
          <w:color w:val="auto"/>
          <w:spacing w:val="-2"/>
          <w:sz w:val="32"/>
          <w:szCs w:val="32"/>
        </w:rPr>
        <w:t>房屋征收部门与被征收人在征收补偿方案确定的签约期限内达不成</w:t>
      </w:r>
      <w:r>
        <w:rPr>
          <w:rFonts w:ascii="Times New Roman" w:hAnsi="Times New Roman" w:eastAsia="仿宋_GB2312"/>
          <w:color w:val="auto"/>
          <w:sz w:val="32"/>
          <w:szCs w:val="32"/>
        </w:rPr>
        <w:t>补偿安置协议</w:t>
      </w:r>
      <w:r>
        <w:rPr>
          <w:rFonts w:ascii="Times New Roman" w:hAnsi="Times New Roman" w:eastAsia="仿宋_GB2312"/>
          <w:color w:val="auto"/>
          <w:spacing w:val="-2"/>
          <w:sz w:val="32"/>
          <w:szCs w:val="32"/>
        </w:rPr>
        <w:t>的，或者被征收房屋所有人不明确的，由房屋征收部门报请市政府作出补偿决定，并在房屋征收范围内予以公告。</w:t>
      </w:r>
    </w:p>
    <w:p w14:paraId="4BFBF377">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被征收人对补偿决定不服的，可以依法申请行政复议，也可以依法提起行政诉讼。</w:t>
      </w:r>
    </w:p>
    <w:p w14:paraId="37675C89">
      <w:pPr>
        <w:spacing w:line="600" w:lineRule="exact"/>
        <w:ind w:firstLine="640" w:firstLineChars="200"/>
        <w:rPr>
          <w:rFonts w:hint="default"/>
        </w:rPr>
      </w:pPr>
      <w:r>
        <w:rPr>
          <w:rFonts w:ascii="Times New Roman" w:hAnsi="Times New Roman" w:eastAsia="仿宋_GB2312"/>
          <w:color w:val="auto"/>
          <w:sz w:val="32"/>
          <w:szCs w:val="32"/>
        </w:rPr>
        <w:t>被征收人在法定期限内不申请行政复议或者不提起行政诉讼，在补偿决定确定的期限内又不搬迁的，由市政府依法申请人民法院强制执行。</w:t>
      </w:r>
    </w:p>
    <w:p w14:paraId="062DF14A">
      <w:pPr>
        <w:numPr>
          <w:ilvl w:val="-1"/>
          <w:numId w:val="0"/>
        </w:numPr>
        <w:adjustRightInd w:val="0"/>
        <w:snapToGrid w:val="0"/>
        <w:spacing w:line="600" w:lineRule="exact"/>
        <w:ind w:firstLine="643" w:firstLineChars="200"/>
        <w:rPr>
          <w:rFonts w:hint="eastAsia" w:eastAsia="楷体_GB2312"/>
          <w:b/>
          <w:bCs/>
          <w:color w:val="auto"/>
          <w:sz w:val="32"/>
          <w:szCs w:val="32"/>
          <w:lang w:eastAsia="zh-CN"/>
        </w:rPr>
      </w:pPr>
      <w:r>
        <w:rPr>
          <w:rFonts w:hint="eastAsia" w:eastAsia="楷体_GB2312" w:cs="Times New Roman"/>
          <w:b/>
          <w:bCs/>
          <w:sz w:val="32"/>
          <w:szCs w:val="32"/>
          <w:lang w:eastAsia="zh-CN"/>
        </w:rPr>
        <w:t>（</w:t>
      </w:r>
      <w:r>
        <w:rPr>
          <w:rFonts w:hint="eastAsia" w:eastAsia="楷体_GB2312" w:cs="Times New Roman"/>
          <w:b/>
          <w:bCs/>
          <w:sz w:val="32"/>
          <w:szCs w:val="32"/>
          <w:lang w:val="en-US" w:eastAsia="zh-CN"/>
        </w:rPr>
        <w:t>五</w:t>
      </w:r>
      <w:r>
        <w:rPr>
          <w:rFonts w:hint="eastAsia" w:eastAsia="楷体_GB2312" w:cs="Times New Roman"/>
          <w:b/>
          <w:bCs/>
          <w:sz w:val="32"/>
          <w:szCs w:val="32"/>
          <w:lang w:eastAsia="zh-CN"/>
        </w:rPr>
        <w:t>）</w:t>
      </w:r>
      <w:r>
        <w:rPr>
          <w:rFonts w:hint="eastAsia" w:eastAsia="楷体_GB2312"/>
          <w:b/>
          <w:bCs/>
          <w:color w:val="auto"/>
          <w:sz w:val="32"/>
          <w:szCs w:val="32"/>
        </w:rPr>
        <w:t>补偿</w:t>
      </w:r>
      <w:r>
        <w:rPr>
          <w:rFonts w:hint="eastAsia" w:eastAsia="楷体_GB2312"/>
          <w:b/>
          <w:bCs/>
          <w:color w:val="auto"/>
          <w:sz w:val="32"/>
          <w:szCs w:val="32"/>
          <w:lang w:val="en-US" w:eastAsia="zh-CN"/>
        </w:rPr>
        <w:t>金额</w:t>
      </w:r>
    </w:p>
    <w:p w14:paraId="6C10F8BD">
      <w:pPr>
        <w:adjustRightInd w:val="0"/>
        <w:snapToGrid w:val="0"/>
        <w:spacing w:line="600" w:lineRule="exact"/>
        <w:ind w:firstLine="640" w:firstLineChars="200"/>
        <w:rPr>
          <w:rFonts w:hint="default" w:ascii="Times New Roman" w:hAnsi="Times New Roman" w:eastAsia="仿宋_GB2312" w:cs="Times New Roman"/>
          <w:sz w:val="32"/>
          <w:szCs w:val="32"/>
          <w:highlight w:val="none"/>
        </w:rPr>
      </w:pPr>
      <w:r>
        <w:rPr>
          <w:rFonts w:ascii="Times New Roman" w:hAnsi="Times New Roman" w:eastAsia="仿宋_GB2312"/>
          <w:color w:val="auto"/>
          <w:sz w:val="32"/>
          <w:szCs w:val="32"/>
          <w:highlight w:val="none"/>
        </w:rPr>
        <w:t xml:space="preserve">1. </w:t>
      </w:r>
      <w:r>
        <w:rPr>
          <w:rFonts w:hint="default" w:ascii="Times New Roman" w:hAnsi="Times New Roman" w:eastAsia="仿宋_GB2312" w:cs="Times New Roman"/>
          <w:color w:val="auto"/>
          <w:sz w:val="32"/>
          <w:szCs w:val="32"/>
          <w:highlight w:val="none"/>
        </w:rPr>
        <w:t>根据采样评估，被</w:t>
      </w:r>
      <w:r>
        <w:rPr>
          <w:rFonts w:hint="default" w:ascii="Times New Roman" w:hAnsi="Times New Roman" w:eastAsia="仿宋_GB2312" w:cs="Times New Roman"/>
          <w:color w:val="auto"/>
          <w:sz w:val="32"/>
          <w:szCs w:val="32"/>
          <w:highlight w:val="none"/>
          <w:lang w:val="en-US" w:eastAsia="zh-CN"/>
        </w:rPr>
        <w:t>征收</w:t>
      </w:r>
      <w:r>
        <w:rPr>
          <w:rFonts w:hint="default" w:ascii="Times New Roman" w:hAnsi="Times New Roman" w:eastAsia="仿宋_GB2312" w:cs="Times New Roman"/>
          <w:color w:val="auto"/>
          <w:sz w:val="32"/>
          <w:szCs w:val="32"/>
          <w:highlight w:val="none"/>
        </w:rPr>
        <w:t>房屋类似房地产市场评估</w:t>
      </w:r>
      <w:r>
        <w:rPr>
          <w:rFonts w:hint="eastAsia" w:eastAsia="仿宋_GB2312" w:cs="Times New Roman"/>
          <w:color w:val="auto"/>
          <w:sz w:val="32"/>
          <w:szCs w:val="32"/>
          <w:lang w:val="en-US" w:eastAsia="zh-CN"/>
        </w:rPr>
        <w:t>基价</w:t>
      </w:r>
      <w:r>
        <w:rPr>
          <w:rFonts w:hint="default" w:ascii="Times New Roman" w:hAnsi="Times New Roman" w:eastAsia="仿宋_GB2312" w:cs="Times New Roman"/>
          <w:color w:val="auto"/>
          <w:sz w:val="32"/>
          <w:szCs w:val="32"/>
          <w:highlight w:val="none"/>
        </w:rPr>
        <w:t>为：</w:t>
      </w:r>
    </w:p>
    <w:p w14:paraId="664A9A77">
      <w:pPr>
        <w:numPr>
          <w:ilvl w:val="0"/>
          <w:numId w:val="0"/>
        </w:numPr>
        <w:spacing w:line="600" w:lineRule="exact"/>
        <w:ind w:firstLine="640" w:firstLineChars="20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商业用房：仓基街沿街一层</w:t>
      </w:r>
      <w:r>
        <w:rPr>
          <w:rFonts w:hint="eastAsia" w:eastAsia="仿宋_GB2312" w:cs="Times New Roman"/>
          <w:sz w:val="32"/>
          <w:szCs w:val="32"/>
          <w:highlight w:val="none"/>
          <w:lang w:val="en-US" w:eastAsia="zh-CN"/>
        </w:rPr>
        <w:t>26220</w:t>
      </w:r>
      <w:r>
        <w:rPr>
          <w:rFonts w:hint="default" w:ascii="Times New Roman" w:hAnsi="Times New Roman" w:eastAsia="仿宋_GB2312" w:cs="Times New Roman"/>
          <w:sz w:val="32"/>
          <w:szCs w:val="32"/>
          <w:highlight w:val="none"/>
          <w:lang w:val="en-US" w:eastAsia="zh-CN"/>
        </w:rPr>
        <w:t>元/平方米</w:t>
      </w:r>
      <w:r>
        <w:rPr>
          <w:rFonts w:hint="eastAsia"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val="en-US" w:eastAsia="zh-CN"/>
        </w:rPr>
        <w:t>层</w:t>
      </w:r>
      <w:r>
        <w:rPr>
          <w:rFonts w:hint="eastAsia" w:eastAsia="仿宋_GB2312" w:cs="Times New Roman"/>
          <w:sz w:val="32"/>
          <w:szCs w:val="32"/>
          <w:highlight w:val="none"/>
          <w:lang w:val="en-US" w:eastAsia="zh-CN"/>
        </w:rPr>
        <w:t>16856</w:t>
      </w:r>
    </w:p>
    <w:p w14:paraId="5BC2D607">
      <w:pPr>
        <w:numPr>
          <w:ilvl w:val="0"/>
          <w:numId w:val="0"/>
        </w:numPr>
        <w:spacing w:line="60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元/平方米</w:t>
      </w:r>
      <w:r>
        <w:rPr>
          <w:rFonts w:hint="default" w:ascii="Times New Roman" w:hAnsi="Times New Roman" w:eastAsia="仿宋_GB2312" w:cs="Times New Roman"/>
          <w:sz w:val="32"/>
          <w:szCs w:val="32"/>
          <w:highlight w:val="none"/>
        </w:rPr>
        <w:t>。</w:t>
      </w:r>
    </w:p>
    <w:p w14:paraId="55A2466C">
      <w:pPr>
        <w:numPr>
          <w:ilvl w:val="0"/>
          <w:numId w:val="3"/>
        </w:numPr>
        <w:spacing w:line="600" w:lineRule="exact"/>
        <w:ind w:firstLine="640" w:firstLineChars="200"/>
        <w:rPr>
          <w:rFonts w:eastAsia="仿宋_GB2312"/>
          <w:color w:val="auto"/>
          <w:sz w:val="32"/>
          <w:szCs w:val="32"/>
        </w:rPr>
      </w:pPr>
      <w:r>
        <w:rPr>
          <w:rFonts w:hint="default" w:eastAsia="仿宋_GB2312"/>
          <w:color w:val="auto"/>
          <w:sz w:val="32"/>
          <w:szCs w:val="32"/>
        </w:rPr>
        <w:t>被征收房屋与产权调换房屋的价值，由房屋征收部门委托已经选定或确定的房地产价格评估机构按照住建部《国有土地上房屋征收评估办法》评估确定。</w:t>
      </w:r>
    </w:p>
    <w:p w14:paraId="2CF4CA4F">
      <w:pPr>
        <w:numPr>
          <w:ilvl w:val="0"/>
          <w:numId w:val="3"/>
        </w:numPr>
        <w:adjustRightInd w:val="0"/>
        <w:snapToGrid w:val="0"/>
        <w:spacing w:line="600" w:lineRule="exact"/>
        <w:ind w:firstLine="640" w:firstLineChars="200"/>
        <w:rPr>
          <w:rFonts w:eastAsia="仿宋_GB2312"/>
          <w:color w:val="auto"/>
          <w:sz w:val="32"/>
          <w:szCs w:val="32"/>
        </w:rPr>
      </w:pPr>
      <w:r>
        <w:rPr>
          <w:rFonts w:eastAsia="仿宋_GB2312"/>
          <w:color w:val="auto"/>
          <w:sz w:val="32"/>
          <w:szCs w:val="32"/>
        </w:rPr>
        <w:t>土地使用权面积大于房屋建筑面积的补偿</w:t>
      </w:r>
    </w:p>
    <w:p w14:paraId="155ED415">
      <w:pPr>
        <w:numPr>
          <w:ilvl w:val="-1"/>
          <w:numId w:val="0"/>
        </w:numPr>
        <w:adjustRightInd w:val="0"/>
        <w:snapToGrid w:val="0"/>
        <w:spacing w:line="600" w:lineRule="exact"/>
        <w:ind w:firstLine="640" w:firstLineChars="200"/>
        <w:rPr>
          <w:rFonts w:eastAsia="仿宋_GB2312"/>
          <w:color w:val="auto"/>
          <w:sz w:val="32"/>
          <w:szCs w:val="32"/>
        </w:rPr>
      </w:pPr>
      <w:r>
        <w:rPr>
          <w:rFonts w:hint="eastAsia" w:eastAsia="仿宋_GB2312"/>
          <w:color w:val="auto"/>
          <w:sz w:val="32"/>
          <w:szCs w:val="32"/>
        </w:rPr>
        <w:t>土地使用权面积大于房屋建筑面积的，对土地使用面积大于房屋建筑面积部分的土地使用权，由经选定或确定的房地产价格评估机构评估确定其价值后补偿。</w:t>
      </w:r>
    </w:p>
    <w:p w14:paraId="1F372B72">
      <w:pPr>
        <w:numPr>
          <w:ilvl w:val="0"/>
          <w:numId w:val="3"/>
        </w:numPr>
        <w:spacing w:line="600" w:lineRule="exact"/>
        <w:ind w:firstLine="640" w:firstLineChars="200"/>
        <w:rPr>
          <w:rFonts w:eastAsia="仿宋_GB2312"/>
          <w:color w:val="auto"/>
          <w:sz w:val="32"/>
          <w:szCs w:val="32"/>
        </w:rPr>
      </w:pPr>
      <w:r>
        <w:rPr>
          <w:rFonts w:hint="eastAsia" w:eastAsia="仿宋_GB2312"/>
          <w:color w:val="auto"/>
          <w:sz w:val="32"/>
          <w:szCs w:val="32"/>
        </w:rPr>
        <w:t>房屋</w:t>
      </w:r>
      <w:r>
        <w:rPr>
          <w:rFonts w:hint="eastAsia" w:eastAsia="仿宋_GB2312"/>
          <w:color w:val="auto"/>
          <w:sz w:val="32"/>
          <w:szCs w:val="32"/>
          <w:lang w:val="en-US" w:eastAsia="zh-CN"/>
        </w:rPr>
        <w:t>征收</w:t>
      </w:r>
      <w:r>
        <w:rPr>
          <w:rFonts w:hint="eastAsia" w:eastAsia="仿宋_GB2312"/>
          <w:color w:val="auto"/>
          <w:sz w:val="32"/>
          <w:szCs w:val="32"/>
        </w:rPr>
        <w:t>奖励</w:t>
      </w:r>
    </w:p>
    <w:p w14:paraId="454CD9AB">
      <w:pPr>
        <w:spacing w:line="600" w:lineRule="exact"/>
        <w:ind w:left="640"/>
        <w:rPr>
          <w:rFonts w:eastAsia="仿宋_GB2312"/>
          <w:color w:val="auto"/>
          <w:sz w:val="32"/>
          <w:szCs w:val="32"/>
        </w:rPr>
      </w:pPr>
      <w:r>
        <w:rPr>
          <w:rFonts w:hint="eastAsia" w:eastAsia="仿宋_GB2312"/>
          <w:color w:val="auto"/>
          <w:sz w:val="32"/>
          <w:szCs w:val="32"/>
        </w:rPr>
        <w:t>（</w:t>
      </w:r>
      <w:r>
        <w:rPr>
          <w:rFonts w:hint="eastAsia" w:eastAsia="仿宋_GB2312"/>
          <w:color w:val="auto"/>
          <w:sz w:val="32"/>
          <w:szCs w:val="32"/>
          <w:lang w:val="en-US" w:eastAsia="zh-CN"/>
        </w:rPr>
        <w:t>1</w:t>
      </w:r>
      <w:r>
        <w:rPr>
          <w:rFonts w:hint="eastAsia" w:eastAsia="仿宋_GB2312"/>
          <w:color w:val="auto"/>
          <w:sz w:val="32"/>
          <w:szCs w:val="32"/>
        </w:rPr>
        <w:t>）选择</w:t>
      </w:r>
      <w:r>
        <w:rPr>
          <w:rFonts w:eastAsia="仿宋_GB2312"/>
          <w:color w:val="auto"/>
          <w:sz w:val="32"/>
          <w:szCs w:val="32"/>
        </w:rPr>
        <w:t>货币补偿</w:t>
      </w:r>
      <w:r>
        <w:rPr>
          <w:rFonts w:hint="eastAsia" w:eastAsia="仿宋_GB2312"/>
          <w:color w:val="auto"/>
          <w:sz w:val="32"/>
          <w:szCs w:val="32"/>
        </w:rPr>
        <w:t>方式</w:t>
      </w:r>
    </w:p>
    <w:p w14:paraId="30831294">
      <w:pPr>
        <w:snapToGrid w:val="0"/>
        <w:spacing w:line="600" w:lineRule="exact"/>
        <w:ind w:firstLine="640" w:firstLineChars="200"/>
        <w:rPr>
          <w:rFonts w:eastAsia="仿宋_GB2312"/>
          <w:color w:val="auto"/>
          <w:sz w:val="32"/>
          <w:szCs w:val="32"/>
        </w:rPr>
      </w:pPr>
      <w:r>
        <w:rPr>
          <w:rFonts w:hint="eastAsia" w:eastAsia="仿宋_GB2312"/>
          <w:color w:val="auto"/>
          <w:sz w:val="32"/>
          <w:szCs w:val="32"/>
        </w:rPr>
        <w:t>被</w:t>
      </w:r>
      <w:r>
        <w:rPr>
          <w:rFonts w:hint="eastAsia" w:eastAsia="仿宋_GB2312"/>
          <w:color w:val="auto"/>
          <w:sz w:val="32"/>
          <w:szCs w:val="32"/>
          <w:lang w:eastAsia="zh-CN"/>
        </w:rPr>
        <w:t>征收</w:t>
      </w:r>
      <w:r>
        <w:rPr>
          <w:rFonts w:hint="eastAsia" w:eastAsia="仿宋_GB2312"/>
          <w:color w:val="auto"/>
          <w:sz w:val="32"/>
          <w:szCs w:val="32"/>
        </w:rPr>
        <w:t>商业</w:t>
      </w:r>
      <w:r>
        <w:rPr>
          <w:rFonts w:eastAsia="仿宋_GB2312"/>
          <w:color w:val="auto"/>
          <w:sz w:val="32"/>
          <w:szCs w:val="32"/>
        </w:rPr>
        <w:t>房屋</w:t>
      </w:r>
      <w:r>
        <w:rPr>
          <w:rFonts w:hint="eastAsia" w:eastAsia="仿宋_GB2312"/>
          <w:color w:val="auto"/>
          <w:sz w:val="32"/>
          <w:szCs w:val="32"/>
        </w:rPr>
        <w:t>选择</w:t>
      </w:r>
      <w:r>
        <w:rPr>
          <w:rFonts w:eastAsia="仿宋_GB2312"/>
          <w:color w:val="auto"/>
          <w:sz w:val="32"/>
          <w:szCs w:val="32"/>
        </w:rPr>
        <w:t>货币补偿</w:t>
      </w:r>
      <w:r>
        <w:rPr>
          <w:rFonts w:hint="eastAsia" w:eastAsia="仿宋_GB2312"/>
          <w:color w:val="auto"/>
          <w:sz w:val="32"/>
          <w:szCs w:val="32"/>
        </w:rPr>
        <w:t>方式</w:t>
      </w:r>
      <w:r>
        <w:rPr>
          <w:rFonts w:eastAsia="仿宋_GB2312"/>
          <w:color w:val="auto"/>
          <w:sz w:val="32"/>
          <w:szCs w:val="32"/>
        </w:rPr>
        <w:t>的，</w:t>
      </w:r>
      <w:r>
        <w:rPr>
          <w:rFonts w:hint="eastAsia" w:eastAsia="仿宋_GB2312"/>
          <w:color w:val="auto"/>
          <w:sz w:val="32"/>
          <w:szCs w:val="32"/>
        </w:rPr>
        <w:t>给予货币补偿奖励。货币补偿奖励系数为4</w:t>
      </w:r>
      <w:r>
        <w:rPr>
          <w:rFonts w:eastAsia="仿宋_GB2312"/>
          <w:color w:val="auto"/>
          <w:sz w:val="32"/>
          <w:szCs w:val="32"/>
        </w:rPr>
        <w:t>0％</w:t>
      </w:r>
      <w:r>
        <w:rPr>
          <w:rFonts w:hint="eastAsia" w:eastAsia="仿宋_GB2312"/>
          <w:color w:val="auto"/>
          <w:sz w:val="32"/>
          <w:szCs w:val="32"/>
        </w:rPr>
        <w:t>。</w:t>
      </w:r>
    </w:p>
    <w:p w14:paraId="1C8190F9">
      <w:pPr>
        <w:snapToGrid w:val="0"/>
        <w:spacing w:line="600" w:lineRule="exact"/>
        <w:ind w:firstLine="640" w:firstLineChars="200"/>
        <w:rPr>
          <w:rFonts w:hint="eastAsia" w:eastAsia="仿宋_GB2312"/>
          <w:color w:val="auto"/>
          <w:sz w:val="32"/>
          <w:szCs w:val="32"/>
        </w:rPr>
      </w:pPr>
      <w:r>
        <w:rPr>
          <w:rFonts w:eastAsia="仿宋_GB2312"/>
          <w:color w:val="auto"/>
          <w:sz w:val="32"/>
          <w:szCs w:val="32"/>
        </w:rPr>
        <w:t>计算</w:t>
      </w:r>
      <w:r>
        <w:rPr>
          <w:rFonts w:hint="eastAsia" w:eastAsia="仿宋_GB2312"/>
          <w:color w:val="auto"/>
          <w:sz w:val="32"/>
          <w:szCs w:val="32"/>
        </w:rPr>
        <w:t>方式</w:t>
      </w:r>
      <w:r>
        <w:rPr>
          <w:rFonts w:eastAsia="仿宋_GB2312"/>
          <w:color w:val="auto"/>
          <w:sz w:val="32"/>
          <w:szCs w:val="32"/>
        </w:rPr>
        <w:t>为：被</w:t>
      </w:r>
      <w:r>
        <w:rPr>
          <w:rFonts w:hint="eastAsia" w:eastAsia="仿宋_GB2312"/>
          <w:color w:val="auto"/>
          <w:sz w:val="32"/>
          <w:szCs w:val="32"/>
          <w:lang w:eastAsia="zh-CN"/>
        </w:rPr>
        <w:t>征收</w:t>
      </w:r>
      <w:r>
        <w:rPr>
          <w:rFonts w:hint="eastAsia" w:eastAsia="仿宋_GB2312"/>
          <w:color w:val="auto"/>
          <w:sz w:val="32"/>
          <w:szCs w:val="32"/>
        </w:rPr>
        <w:t>商业</w:t>
      </w:r>
      <w:r>
        <w:rPr>
          <w:rFonts w:eastAsia="仿宋_GB2312"/>
          <w:color w:val="auto"/>
          <w:sz w:val="32"/>
          <w:szCs w:val="32"/>
        </w:rPr>
        <w:t>房屋合法建筑面积×被</w:t>
      </w:r>
      <w:r>
        <w:rPr>
          <w:rFonts w:hint="eastAsia" w:eastAsia="仿宋_GB2312"/>
          <w:color w:val="auto"/>
          <w:sz w:val="32"/>
          <w:szCs w:val="32"/>
          <w:lang w:eastAsia="zh-CN"/>
        </w:rPr>
        <w:t>征收</w:t>
      </w:r>
      <w:r>
        <w:rPr>
          <w:rFonts w:hint="eastAsia" w:eastAsia="仿宋_GB2312"/>
          <w:color w:val="auto"/>
          <w:sz w:val="32"/>
          <w:szCs w:val="32"/>
        </w:rPr>
        <w:t>商业</w:t>
      </w:r>
      <w:r>
        <w:rPr>
          <w:rFonts w:eastAsia="仿宋_GB2312"/>
          <w:color w:val="auto"/>
          <w:sz w:val="32"/>
          <w:szCs w:val="32"/>
        </w:rPr>
        <w:t>房屋</w:t>
      </w:r>
      <w:r>
        <w:rPr>
          <w:rFonts w:hint="eastAsia" w:eastAsia="仿宋_GB2312"/>
          <w:color w:val="auto"/>
          <w:sz w:val="32"/>
          <w:szCs w:val="32"/>
        </w:rPr>
        <w:t>的</w:t>
      </w:r>
      <w:r>
        <w:rPr>
          <w:rFonts w:eastAsia="仿宋_GB2312"/>
          <w:color w:val="auto"/>
          <w:sz w:val="32"/>
          <w:szCs w:val="32"/>
        </w:rPr>
        <w:t>市场评估单价（</w:t>
      </w:r>
      <w:r>
        <w:rPr>
          <w:rFonts w:hint="eastAsia" w:eastAsia="仿宋_GB2312"/>
          <w:color w:val="auto"/>
          <w:sz w:val="32"/>
          <w:szCs w:val="32"/>
        </w:rPr>
        <w:t>但不包括被</w:t>
      </w:r>
      <w:r>
        <w:rPr>
          <w:rFonts w:hint="eastAsia" w:eastAsia="仿宋_GB2312"/>
          <w:color w:val="auto"/>
          <w:sz w:val="32"/>
          <w:szCs w:val="32"/>
          <w:lang w:val="en-US" w:eastAsia="zh-CN"/>
        </w:rPr>
        <w:t>征收商业</w:t>
      </w:r>
      <w:r>
        <w:rPr>
          <w:rFonts w:hint="eastAsia" w:eastAsia="仿宋_GB2312"/>
          <w:color w:val="auto"/>
          <w:sz w:val="32"/>
          <w:szCs w:val="32"/>
        </w:rPr>
        <w:t>房屋的装饰装潢价格</w:t>
      </w:r>
      <w:r>
        <w:rPr>
          <w:rFonts w:eastAsia="仿宋_GB2312"/>
          <w:color w:val="auto"/>
          <w:sz w:val="32"/>
          <w:szCs w:val="32"/>
        </w:rPr>
        <w:t>）×</w:t>
      </w:r>
      <w:r>
        <w:rPr>
          <w:rFonts w:hint="eastAsia" w:eastAsia="仿宋_GB2312"/>
          <w:color w:val="auto"/>
          <w:sz w:val="32"/>
          <w:szCs w:val="32"/>
        </w:rPr>
        <w:t>4</w:t>
      </w:r>
      <w:r>
        <w:rPr>
          <w:rFonts w:eastAsia="仿宋_GB2312"/>
          <w:color w:val="auto"/>
          <w:sz w:val="32"/>
          <w:szCs w:val="32"/>
        </w:rPr>
        <w:t>0％</w:t>
      </w:r>
      <w:r>
        <w:rPr>
          <w:rFonts w:hint="eastAsia" w:eastAsia="仿宋_GB2312"/>
          <w:color w:val="auto"/>
          <w:sz w:val="32"/>
          <w:szCs w:val="32"/>
        </w:rPr>
        <w:t>。</w:t>
      </w:r>
    </w:p>
    <w:p w14:paraId="60D7C9FE">
      <w:pPr>
        <w:snapToGrid w:val="0"/>
        <w:spacing w:line="600" w:lineRule="exact"/>
        <w:ind w:firstLine="640" w:firstLineChars="200"/>
        <w:rPr>
          <w:rFonts w:eastAsia="仿宋_GB2312"/>
          <w:color w:val="auto"/>
          <w:sz w:val="32"/>
          <w:szCs w:val="32"/>
        </w:rPr>
      </w:pPr>
      <w:r>
        <w:rPr>
          <w:rFonts w:hint="eastAsia" w:eastAsia="仿宋_GB2312"/>
          <w:color w:val="auto"/>
          <w:sz w:val="32"/>
          <w:szCs w:val="32"/>
        </w:rPr>
        <w:t>（</w:t>
      </w:r>
      <w:r>
        <w:rPr>
          <w:rFonts w:hint="eastAsia" w:eastAsia="仿宋_GB2312"/>
          <w:color w:val="auto"/>
          <w:sz w:val="32"/>
          <w:szCs w:val="32"/>
          <w:lang w:val="en-US" w:eastAsia="zh-CN"/>
        </w:rPr>
        <w:t>2</w:t>
      </w:r>
      <w:r>
        <w:rPr>
          <w:rFonts w:hint="eastAsia" w:eastAsia="仿宋_GB2312"/>
          <w:color w:val="auto"/>
          <w:sz w:val="32"/>
          <w:szCs w:val="32"/>
        </w:rPr>
        <w:t>）</w:t>
      </w:r>
      <w:r>
        <w:rPr>
          <w:rFonts w:eastAsia="仿宋_GB2312"/>
          <w:color w:val="auto"/>
          <w:sz w:val="32"/>
          <w:szCs w:val="32"/>
        </w:rPr>
        <w:t>房屋</w:t>
      </w:r>
      <w:r>
        <w:rPr>
          <w:rFonts w:hint="eastAsia" w:eastAsia="仿宋_GB2312"/>
          <w:color w:val="auto"/>
          <w:sz w:val="32"/>
          <w:szCs w:val="32"/>
        </w:rPr>
        <w:t>按时</w:t>
      </w:r>
      <w:r>
        <w:rPr>
          <w:rFonts w:eastAsia="仿宋_GB2312"/>
          <w:color w:val="auto"/>
          <w:sz w:val="32"/>
          <w:szCs w:val="32"/>
        </w:rPr>
        <w:t>搬迁奖励</w:t>
      </w:r>
    </w:p>
    <w:p w14:paraId="4993B82B">
      <w:pPr>
        <w:spacing w:line="600" w:lineRule="exact"/>
        <w:ind w:firstLine="640" w:firstLineChars="200"/>
        <w:rPr>
          <w:rFonts w:hint="eastAsia" w:eastAsia="仿宋_GB2312"/>
          <w:color w:val="auto"/>
          <w:sz w:val="32"/>
          <w:szCs w:val="32"/>
        </w:rPr>
      </w:pPr>
      <w:r>
        <w:rPr>
          <w:rFonts w:eastAsia="仿宋_GB2312"/>
          <w:color w:val="auto"/>
          <w:sz w:val="32"/>
          <w:szCs w:val="32"/>
        </w:rPr>
        <w:t>①</w:t>
      </w:r>
      <w:r>
        <w:rPr>
          <w:rFonts w:hint="eastAsia" w:eastAsia="仿宋_GB2312"/>
          <w:color w:val="auto"/>
          <w:sz w:val="32"/>
          <w:szCs w:val="32"/>
        </w:rPr>
        <w:t xml:space="preserve"> 在房屋征收部门公布的搬迁奖励期限内，被征收人在搬迁奖励期限内签订房屋征收补偿安置协议并完成搬迁（腾地交房）的，被征收房屋建筑面积在144平方米以下的（含144平方米），每户奖励3万元。</w:t>
      </w:r>
    </w:p>
    <w:p w14:paraId="5B4E2500">
      <w:pPr>
        <w:spacing w:line="600" w:lineRule="exact"/>
        <w:ind w:firstLine="640" w:firstLineChars="200"/>
        <w:rPr>
          <w:rFonts w:hint="eastAsia" w:eastAsia="仿宋_GB2312"/>
          <w:color w:val="auto"/>
          <w:sz w:val="32"/>
          <w:szCs w:val="32"/>
        </w:rPr>
      </w:pPr>
      <w:r>
        <w:rPr>
          <w:rFonts w:eastAsia="仿宋_GB2312"/>
          <w:color w:val="auto"/>
          <w:sz w:val="32"/>
          <w:szCs w:val="32"/>
        </w:rPr>
        <w:t>②</w:t>
      </w:r>
      <w:r>
        <w:rPr>
          <w:rFonts w:hint="eastAsia" w:eastAsia="仿宋_GB2312"/>
          <w:color w:val="auto"/>
          <w:sz w:val="32"/>
          <w:szCs w:val="32"/>
          <w:lang w:val="en-US" w:eastAsia="zh-CN"/>
        </w:rPr>
        <w:t xml:space="preserve"> </w:t>
      </w:r>
      <w:r>
        <w:rPr>
          <w:rFonts w:hint="eastAsia" w:eastAsia="仿宋_GB2312"/>
          <w:color w:val="auto"/>
          <w:sz w:val="32"/>
          <w:szCs w:val="32"/>
        </w:rPr>
        <w:t>在房屋征收部门公布的搬迁期限内，该项目被征收人100%签订补偿安置协议并完成搬迁（腾地交房）的，每户另行奖励2万元。</w:t>
      </w:r>
    </w:p>
    <w:p w14:paraId="233BEF8A">
      <w:pPr>
        <w:spacing w:line="600" w:lineRule="exact"/>
        <w:ind w:firstLine="640" w:firstLineChars="200"/>
        <w:rPr>
          <w:rFonts w:hint="eastAsia" w:eastAsia="仿宋_GB2312"/>
          <w:color w:val="auto"/>
          <w:sz w:val="32"/>
          <w:szCs w:val="32"/>
        </w:rPr>
      </w:pPr>
      <w:r>
        <w:rPr>
          <w:rFonts w:hint="default" w:ascii="Times New Roman" w:hAnsi="Times New Roman" w:eastAsia="仿宋_GB2312" w:cs="Times New Roman"/>
          <w:color w:val="auto"/>
          <w:sz w:val="32"/>
          <w:szCs w:val="32"/>
          <w:lang w:val="en-US" w:eastAsia="zh-CN"/>
        </w:rPr>
        <w:t>③</w:t>
      </w:r>
      <w:r>
        <w:rPr>
          <w:rFonts w:hint="eastAsia" w:eastAsia="仿宋_GB2312"/>
          <w:color w:val="auto"/>
          <w:sz w:val="32"/>
          <w:szCs w:val="32"/>
          <w:lang w:val="en-US" w:eastAsia="zh-CN"/>
        </w:rPr>
        <w:t xml:space="preserve"> </w:t>
      </w:r>
      <w:r>
        <w:rPr>
          <w:rFonts w:hint="eastAsia" w:eastAsia="仿宋_GB2312"/>
          <w:color w:val="auto"/>
          <w:sz w:val="32"/>
          <w:szCs w:val="32"/>
        </w:rPr>
        <w:t>自房屋征收决定公布之日起6个月内，该项目被征收人100%签订补偿安置协议并完成搬迁（腾地交房）的，每户另行奖励1万元。</w:t>
      </w:r>
    </w:p>
    <w:p w14:paraId="0DBEC4A2">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eastAsia="仿宋_GB2312"/>
          <w:color w:val="auto"/>
          <w:sz w:val="32"/>
          <w:szCs w:val="32"/>
        </w:rPr>
        <w:t>超过搬迁奖励期限签协搬迁的，不得享受奖励费。</w:t>
      </w:r>
    </w:p>
    <w:p w14:paraId="474C0F7D">
      <w:pPr>
        <w:spacing w:line="600" w:lineRule="exact"/>
        <w:ind w:firstLine="640" w:firstLineChars="200"/>
        <w:rPr>
          <w:rFonts w:hint="default" w:ascii="Times New Roman" w:hAnsi="Times New Roman" w:eastAsia="仿宋_GB2312" w:cs="Times New Roman"/>
          <w:sz w:val="32"/>
          <w:szCs w:val="32"/>
          <w:highlight w:val="none"/>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 xml:space="preserve">. </w:t>
      </w:r>
      <w:r>
        <w:rPr>
          <w:rFonts w:hint="eastAsia" w:eastAsia="仿宋_GB2312"/>
          <w:color w:val="auto"/>
          <w:sz w:val="32"/>
          <w:szCs w:val="32"/>
        </w:rPr>
        <w:t>被征收房屋室内装饰装潢的价值，由</w:t>
      </w:r>
      <w:r>
        <w:rPr>
          <w:rFonts w:hint="eastAsia" w:eastAsia="仿宋_GB2312"/>
          <w:color w:val="auto"/>
          <w:sz w:val="32"/>
          <w:szCs w:val="32"/>
          <w:highlight w:val="none"/>
        </w:rPr>
        <w:t>经选定</w:t>
      </w:r>
      <w:r>
        <w:rPr>
          <w:rFonts w:hint="eastAsia" w:eastAsia="仿宋_GB2312"/>
          <w:color w:val="auto"/>
          <w:sz w:val="32"/>
          <w:szCs w:val="32"/>
          <w:highlight w:val="none"/>
          <w:lang w:val="en-US" w:eastAsia="zh-CN"/>
        </w:rPr>
        <w:t>或确定</w:t>
      </w:r>
      <w:r>
        <w:rPr>
          <w:rFonts w:hint="eastAsia" w:eastAsia="仿宋_GB2312"/>
          <w:color w:val="auto"/>
          <w:sz w:val="32"/>
          <w:szCs w:val="32"/>
          <w:highlight w:val="none"/>
        </w:rPr>
        <w:t>的房屋征收评估机构通过评估确定。</w:t>
      </w:r>
    </w:p>
    <w:p w14:paraId="4B93747E">
      <w:pPr>
        <w:spacing w:line="600" w:lineRule="exact"/>
        <w:ind w:firstLine="640"/>
        <w:rPr>
          <w:rFonts w:hint="default" w:ascii="Times New Roman" w:hAnsi="Times New Roman" w:eastAsia="仿宋_GB2312" w:cs="Times New Roman"/>
          <w:color w:val="auto"/>
          <w:kern w:val="0"/>
          <w:sz w:val="32"/>
          <w:szCs w:val="32"/>
          <w:highlight w:val="none"/>
        </w:rPr>
      </w:pP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color w:val="auto"/>
          <w:kern w:val="0"/>
          <w:sz w:val="32"/>
          <w:szCs w:val="32"/>
          <w:highlight w:val="none"/>
        </w:rPr>
        <w:t>搬迁补偿费</w:t>
      </w:r>
    </w:p>
    <w:p w14:paraId="2197AC80">
      <w:pPr>
        <w:spacing w:line="600" w:lineRule="exact"/>
        <w:ind w:firstLine="64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非住宅房屋40平方米（含40平方米）以下的，每户按500元发放，40平方米以上的，每增加40平方米（不足40平方米按40平方米计算），增加500元搬迁补偿费。</w:t>
      </w:r>
    </w:p>
    <w:p w14:paraId="4A258A6E">
      <w:pPr>
        <w:spacing w:line="600" w:lineRule="exact"/>
        <w:ind w:firstLine="640"/>
        <w:jc w:val="left"/>
        <w:rPr>
          <w:rFonts w:hint="default" w:ascii="Times New Roman" w:hAnsi="Times New Roman" w:eastAsia="仿宋_GB2312" w:cs="Times New Roman"/>
          <w:color w:val="auto"/>
          <w:kern w:val="0"/>
          <w:sz w:val="23"/>
          <w:szCs w:val="23"/>
        </w:rPr>
      </w:pPr>
      <w:r>
        <w:rPr>
          <w:rFonts w:hint="default" w:ascii="Times New Roman" w:hAnsi="Times New Roman" w:eastAsia="仿宋_GB2312" w:cs="Times New Roman"/>
          <w:color w:val="auto"/>
          <w:kern w:val="0"/>
          <w:sz w:val="32"/>
          <w:szCs w:val="32"/>
        </w:rPr>
        <w:t>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人对上述搬迁补偿费的计算标准有异议的，由房屋</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部门委托已经选定或确定的房地产价格评估机构评估确定搬迁补偿费。</w:t>
      </w:r>
    </w:p>
    <w:p w14:paraId="1408E7AE">
      <w:pPr>
        <w:numPr>
          <w:ilvl w:val="0"/>
          <w:numId w:val="4"/>
        </w:numPr>
        <w:spacing w:line="600" w:lineRule="exact"/>
        <w:ind w:left="630" w:firstLine="0" w:firstLineChars="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停产停业损失补偿费</w:t>
      </w:r>
    </w:p>
    <w:p w14:paraId="2F41D71E">
      <w:pPr>
        <w:spacing w:line="600" w:lineRule="exact"/>
        <w:ind w:firstLine="64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对因</w:t>
      </w:r>
      <w:r>
        <w:rPr>
          <w:rFonts w:hint="eastAsia" w:eastAsia="仿宋_GB2312"/>
          <w:color w:val="auto"/>
          <w:sz w:val="32"/>
          <w:szCs w:val="32"/>
          <w:highlight w:val="none"/>
        </w:rPr>
        <w:t>征收</w:t>
      </w:r>
      <w:r>
        <w:rPr>
          <w:rFonts w:hint="default" w:ascii="Times New Roman" w:hAnsi="Times New Roman" w:eastAsia="仿宋_GB2312" w:cs="Times New Roman"/>
          <w:color w:val="auto"/>
          <w:kern w:val="0"/>
          <w:sz w:val="32"/>
          <w:szCs w:val="32"/>
          <w:highlight w:val="none"/>
        </w:rPr>
        <w:t>房屋造成停产停业损失的补偿，由</w:t>
      </w:r>
      <w:r>
        <w:rPr>
          <w:rFonts w:hint="eastAsia" w:eastAsia="仿宋_GB2312"/>
          <w:color w:val="auto"/>
          <w:sz w:val="32"/>
          <w:szCs w:val="32"/>
          <w:highlight w:val="none"/>
        </w:rPr>
        <w:t>征收</w:t>
      </w:r>
      <w:r>
        <w:rPr>
          <w:rFonts w:hint="default" w:ascii="Times New Roman" w:hAnsi="Times New Roman" w:eastAsia="仿宋_GB2312" w:cs="Times New Roman"/>
          <w:color w:val="auto"/>
          <w:kern w:val="0"/>
          <w:sz w:val="32"/>
          <w:szCs w:val="32"/>
          <w:highlight w:val="none"/>
        </w:rPr>
        <w:t>当事人协商确定；协商不成的，由房屋</w:t>
      </w:r>
      <w:r>
        <w:rPr>
          <w:rFonts w:hint="eastAsia" w:eastAsia="仿宋_GB2312"/>
          <w:color w:val="auto"/>
          <w:sz w:val="32"/>
          <w:szCs w:val="32"/>
          <w:highlight w:val="none"/>
        </w:rPr>
        <w:t>征收</w:t>
      </w:r>
      <w:r>
        <w:rPr>
          <w:rFonts w:hint="default" w:ascii="Times New Roman" w:hAnsi="Times New Roman" w:eastAsia="仿宋_GB2312" w:cs="Times New Roman"/>
          <w:color w:val="auto"/>
          <w:kern w:val="0"/>
          <w:sz w:val="32"/>
          <w:szCs w:val="32"/>
          <w:highlight w:val="none"/>
        </w:rPr>
        <w:t>部门委托已经选定或者确定的房地产价格评估机构评估确定。选择产权调换的，按停产停业的实际时间给予补偿，选择货币补偿的，给予十八个月的一次性补偿。</w:t>
      </w:r>
    </w:p>
    <w:p w14:paraId="5B76DD43">
      <w:pPr>
        <w:numPr>
          <w:ilvl w:val="0"/>
          <w:numId w:val="4"/>
        </w:numPr>
        <w:spacing w:line="600" w:lineRule="exact"/>
        <w:ind w:left="630" w:leftChars="0" w:firstLine="0" w:firstLineChars="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移装固定设施补偿费</w:t>
      </w:r>
    </w:p>
    <w:p w14:paraId="30BBCFFD">
      <w:pPr>
        <w:spacing w:line="600" w:lineRule="exact"/>
        <w:ind w:firstLine="64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被征收人或直管公房、单位自有房屋承租人的电话移机费、宽带上网初装费和原水、电增容费、管道煤气气源建设费及安装费、有线电视原装费、太阳能热水器移装费、空调移机费用按房屋征收时的实际价格一次性予以补偿。电话移机费、空调移机费按二次移机补偿。</w:t>
      </w:r>
    </w:p>
    <w:p w14:paraId="3BDC4F0A">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eastAsia="黑体"/>
          <w:sz w:val="32"/>
          <w:szCs w:val="32"/>
          <w:highlight w:val="none"/>
        </w:rPr>
        <w:t>五、</w:t>
      </w:r>
      <w:r>
        <w:rPr>
          <w:rFonts w:hint="default" w:ascii="Times New Roman" w:hAnsi="Times New Roman" w:eastAsia="黑体" w:cs="Times New Roman"/>
          <w:color w:val="auto"/>
          <w:sz w:val="32"/>
          <w:szCs w:val="32"/>
          <w:highlight w:val="none"/>
        </w:rPr>
        <w:t>产权调换安置</w:t>
      </w:r>
    </w:p>
    <w:p w14:paraId="2DD635B7">
      <w:pPr>
        <w:adjustRightInd w:val="0"/>
        <w:snapToGrid w:val="0"/>
        <w:spacing w:line="60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（一）产权调换房</w:t>
      </w:r>
    </w:p>
    <w:p w14:paraId="0D3906F7">
      <w:pPr>
        <w:adjustRightInd w:val="0"/>
        <w:snapToGrid w:val="0"/>
        <w:spacing w:line="600" w:lineRule="exact"/>
        <w:ind w:firstLine="640" w:firstLineChars="200"/>
        <w:rPr>
          <w:rFonts w:hint="default" w:ascii="Times New Roman" w:hAnsi="Times New Roman" w:eastAsia="仿宋_GB2312" w:cs="Times New Roman"/>
          <w:spacing w:val="-8"/>
          <w:sz w:val="32"/>
          <w:szCs w:val="32"/>
          <w:highlight w:val="none"/>
          <w:lang w:val="en-US" w:eastAsia="zh-CN"/>
        </w:rPr>
      </w:pPr>
      <w:r>
        <w:rPr>
          <w:rFonts w:eastAsia="仿宋_GB2312"/>
          <w:color w:val="auto"/>
          <w:sz w:val="32"/>
          <w:szCs w:val="32"/>
          <w:highlight w:val="none"/>
        </w:rPr>
        <w:t>本项目提供梧桐广场</w:t>
      </w:r>
      <w:r>
        <w:rPr>
          <w:rFonts w:hint="eastAsia" w:eastAsia="仿宋_GB2312"/>
          <w:color w:val="auto"/>
          <w:sz w:val="32"/>
          <w:szCs w:val="32"/>
          <w:highlight w:val="none"/>
          <w:lang w:val="en-US" w:eastAsia="zh-CN"/>
        </w:rPr>
        <w:t>部分</w:t>
      </w:r>
      <w:r>
        <w:rPr>
          <w:rFonts w:eastAsia="仿宋_GB2312"/>
          <w:color w:val="auto"/>
          <w:sz w:val="32"/>
          <w:szCs w:val="32"/>
          <w:highlight w:val="none"/>
        </w:rPr>
        <w:t>商业房作为产权调换房，</w:t>
      </w:r>
      <w:r>
        <w:rPr>
          <w:rFonts w:hint="eastAsia" w:eastAsia="仿宋_GB2312"/>
          <w:color w:val="auto"/>
          <w:sz w:val="32"/>
          <w:szCs w:val="32"/>
          <w:highlight w:val="none"/>
        </w:rPr>
        <w:t>具体</w:t>
      </w:r>
      <w:r>
        <w:rPr>
          <w:rFonts w:eastAsia="仿宋_GB2312"/>
          <w:color w:val="auto"/>
          <w:sz w:val="32"/>
          <w:szCs w:val="32"/>
          <w:highlight w:val="none"/>
        </w:rPr>
        <w:t>在</w:t>
      </w:r>
      <w:r>
        <w:rPr>
          <w:rFonts w:hint="eastAsia" w:eastAsia="仿宋_GB2312"/>
          <w:color w:val="auto"/>
          <w:sz w:val="32"/>
          <w:szCs w:val="32"/>
          <w:highlight w:val="none"/>
          <w:lang w:val="en-US" w:eastAsia="zh-CN"/>
        </w:rPr>
        <w:t>征收</w:t>
      </w:r>
      <w:r>
        <w:rPr>
          <w:rFonts w:eastAsia="仿宋_GB2312"/>
          <w:color w:val="auto"/>
          <w:sz w:val="32"/>
          <w:szCs w:val="32"/>
          <w:highlight w:val="none"/>
        </w:rPr>
        <w:t>现场公布。</w:t>
      </w:r>
    </w:p>
    <w:p w14:paraId="5DE2D0E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auto"/>
          <w:sz w:val="32"/>
          <w:szCs w:val="32"/>
        </w:rPr>
      </w:pPr>
      <w:r>
        <w:rPr>
          <w:rFonts w:hint="eastAsia" w:eastAsia="仿宋_GB2312"/>
          <w:color w:val="auto"/>
          <w:sz w:val="32"/>
          <w:szCs w:val="32"/>
        </w:rPr>
        <w:t>安置用房</w:t>
      </w:r>
      <w:r>
        <w:rPr>
          <w:rFonts w:eastAsia="仿宋_GB2312"/>
          <w:color w:val="auto"/>
          <w:sz w:val="32"/>
          <w:szCs w:val="32"/>
        </w:rPr>
        <w:t>在</w:t>
      </w:r>
      <w:r>
        <w:rPr>
          <w:rFonts w:hint="eastAsia" w:eastAsia="仿宋_GB2312"/>
          <w:color w:val="auto"/>
          <w:sz w:val="32"/>
          <w:szCs w:val="32"/>
          <w:lang w:val="en-US" w:eastAsia="zh-CN"/>
        </w:rPr>
        <w:t>征收</w:t>
      </w:r>
      <w:r>
        <w:rPr>
          <w:rFonts w:eastAsia="仿宋_GB2312"/>
          <w:color w:val="auto"/>
          <w:sz w:val="32"/>
          <w:szCs w:val="32"/>
        </w:rPr>
        <w:t>过程中如有变化，根据实际情况再行调整</w:t>
      </w:r>
      <w:r>
        <w:rPr>
          <w:rFonts w:hint="eastAsia" w:eastAsia="仿宋_GB2312"/>
          <w:color w:val="auto"/>
          <w:sz w:val="32"/>
          <w:szCs w:val="32"/>
        </w:rPr>
        <w:t>。</w:t>
      </w:r>
      <w:r>
        <w:rPr>
          <w:rFonts w:eastAsia="仿宋_GB2312"/>
          <w:color w:val="auto"/>
          <w:sz w:val="32"/>
          <w:szCs w:val="32"/>
        </w:rPr>
        <w:t>安置房户型以现场办公室公布的房源信息为准。</w:t>
      </w:r>
    </w:p>
    <w:p w14:paraId="3F187371">
      <w:pPr>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（二）安置标准</w:t>
      </w:r>
    </w:p>
    <w:p w14:paraId="0AEF6445">
      <w:pPr>
        <w:spacing w:line="600" w:lineRule="exact"/>
        <w:ind w:firstLine="640" w:firstLineChars="200"/>
        <w:rPr>
          <w:rFonts w:eastAsia="仿宋_GB2312"/>
          <w:color w:val="auto"/>
          <w:sz w:val="32"/>
          <w:szCs w:val="32"/>
        </w:rPr>
      </w:pPr>
      <w:r>
        <w:rPr>
          <w:rFonts w:hint="eastAsia" w:eastAsia="仿宋_GB2312"/>
          <w:color w:val="auto"/>
          <w:sz w:val="32"/>
          <w:szCs w:val="32"/>
        </w:rPr>
        <w:t xml:space="preserve">1. </w:t>
      </w:r>
      <w:r>
        <w:rPr>
          <w:rFonts w:eastAsia="仿宋_GB2312"/>
          <w:color w:val="auto"/>
          <w:sz w:val="32"/>
          <w:szCs w:val="32"/>
        </w:rPr>
        <w:t>商业</w:t>
      </w:r>
      <w:r>
        <w:rPr>
          <w:rFonts w:hint="eastAsia" w:eastAsia="仿宋_GB2312"/>
          <w:color w:val="auto"/>
          <w:sz w:val="32"/>
          <w:szCs w:val="32"/>
        </w:rPr>
        <w:t>房屋</w:t>
      </w:r>
      <w:r>
        <w:rPr>
          <w:rFonts w:eastAsia="仿宋_GB2312"/>
          <w:color w:val="auto"/>
          <w:sz w:val="32"/>
          <w:szCs w:val="32"/>
        </w:rPr>
        <w:t>产权调换，选择的商业安置房原则上不得超过原商业</w:t>
      </w:r>
      <w:r>
        <w:rPr>
          <w:rFonts w:hint="eastAsia" w:eastAsia="仿宋_GB2312"/>
          <w:color w:val="auto"/>
          <w:sz w:val="32"/>
          <w:szCs w:val="32"/>
        </w:rPr>
        <w:t>房屋</w:t>
      </w:r>
      <w:r>
        <w:rPr>
          <w:rFonts w:eastAsia="仿宋_GB2312"/>
          <w:color w:val="auto"/>
          <w:sz w:val="32"/>
          <w:szCs w:val="32"/>
        </w:rPr>
        <w:t>面积。</w:t>
      </w:r>
    </w:p>
    <w:p w14:paraId="164C7A4E">
      <w:pPr>
        <w:adjustRightInd w:val="0"/>
        <w:snapToGrid w:val="0"/>
        <w:spacing w:line="600" w:lineRule="exact"/>
        <w:ind w:firstLine="640" w:firstLineChars="200"/>
        <w:rPr>
          <w:rFonts w:eastAsia="仿宋_GB2312"/>
          <w:color w:val="auto"/>
          <w:sz w:val="32"/>
          <w:szCs w:val="32"/>
        </w:rPr>
      </w:pPr>
      <w:r>
        <w:rPr>
          <w:rFonts w:hint="eastAsia" w:eastAsia="仿宋_GB2312"/>
          <w:color w:val="auto"/>
          <w:sz w:val="32"/>
          <w:szCs w:val="32"/>
          <w:lang w:val="en-US" w:eastAsia="zh-CN"/>
        </w:rPr>
        <w:t xml:space="preserve">2. </w:t>
      </w:r>
      <w:r>
        <w:rPr>
          <w:rFonts w:eastAsia="仿宋_GB2312"/>
          <w:color w:val="auto"/>
          <w:sz w:val="32"/>
          <w:szCs w:val="32"/>
        </w:rPr>
        <w:t>商业</w:t>
      </w:r>
      <w:r>
        <w:rPr>
          <w:rFonts w:hint="eastAsia" w:eastAsia="仿宋_GB2312"/>
          <w:color w:val="auto"/>
          <w:sz w:val="32"/>
          <w:szCs w:val="32"/>
        </w:rPr>
        <w:t>房屋（</w:t>
      </w:r>
      <w:r>
        <w:rPr>
          <w:rFonts w:eastAsia="仿宋_GB2312"/>
          <w:color w:val="auto"/>
          <w:sz w:val="32"/>
          <w:szCs w:val="32"/>
        </w:rPr>
        <w:t>法人或非法人组织所有</w:t>
      </w:r>
      <w:r>
        <w:rPr>
          <w:rFonts w:hint="eastAsia" w:eastAsia="仿宋_GB2312"/>
          <w:color w:val="auto"/>
          <w:sz w:val="32"/>
          <w:szCs w:val="32"/>
        </w:rPr>
        <w:t>的</w:t>
      </w:r>
      <w:r>
        <w:rPr>
          <w:rFonts w:eastAsia="仿宋_GB2312"/>
          <w:color w:val="auto"/>
          <w:sz w:val="32"/>
          <w:szCs w:val="32"/>
        </w:rPr>
        <w:t>商业</w:t>
      </w:r>
      <w:r>
        <w:rPr>
          <w:rFonts w:hint="eastAsia" w:eastAsia="仿宋_GB2312"/>
          <w:color w:val="auto"/>
          <w:sz w:val="32"/>
          <w:szCs w:val="32"/>
        </w:rPr>
        <w:t>房屋除外）</w:t>
      </w:r>
      <w:r>
        <w:rPr>
          <w:rFonts w:eastAsia="仿宋_GB2312"/>
          <w:color w:val="auto"/>
          <w:sz w:val="32"/>
          <w:szCs w:val="32"/>
        </w:rPr>
        <w:t>调换住宅安置房，</w:t>
      </w:r>
      <w:r>
        <w:rPr>
          <w:rFonts w:hint="eastAsia" w:eastAsia="仿宋_GB2312"/>
          <w:color w:val="auto"/>
          <w:sz w:val="32"/>
          <w:szCs w:val="32"/>
          <w:lang w:val="en-US" w:eastAsia="zh-CN"/>
        </w:rPr>
        <w:t>调换</w:t>
      </w:r>
      <w:r>
        <w:rPr>
          <w:rFonts w:eastAsia="仿宋_GB2312"/>
          <w:color w:val="auto"/>
          <w:sz w:val="32"/>
          <w:szCs w:val="32"/>
        </w:rPr>
        <w:t>住宅安置房的套数，由被</w:t>
      </w:r>
      <w:r>
        <w:rPr>
          <w:rFonts w:hint="eastAsia" w:eastAsia="仿宋_GB2312"/>
          <w:color w:val="auto"/>
          <w:sz w:val="32"/>
          <w:szCs w:val="32"/>
          <w:lang w:val="en-US" w:eastAsia="zh-CN"/>
        </w:rPr>
        <w:t>征收</w:t>
      </w:r>
      <w:r>
        <w:rPr>
          <w:rFonts w:eastAsia="仿宋_GB2312"/>
          <w:color w:val="auto"/>
          <w:sz w:val="32"/>
          <w:szCs w:val="32"/>
        </w:rPr>
        <w:t>人自行选择，但</w:t>
      </w:r>
      <w:r>
        <w:rPr>
          <w:rFonts w:hint="eastAsia" w:eastAsia="仿宋_GB2312"/>
          <w:color w:val="auto"/>
          <w:sz w:val="32"/>
          <w:szCs w:val="32"/>
          <w:lang w:val="en-US" w:eastAsia="zh-CN"/>
        </w:rPr>
        <w:t>调换</w:t>
      </w:r>
      <w:r>
        <w:rPr>
          <w:rFonts w:eastAsia="仿宋_GB2312"/>
          <w:color w:val="auto"/>
          <w:sz w:val="32"/>
          <w:szCs w:val="32"/>
        </w:rPr>
        <w:t>住宅安置房的总建筑面积原则上不超过原商业</w:t>
      </w:r>
      <w:r>
        <w:rPr>
          <w:rFonts w:hint="eastAsia" w:eastAsia="仿宋_GB2312"/>
          <w:color w:val="auto"/>
          <w:sz w:val="32"/>
          <w:szCs w:val="32"/>
        </w:rPr>
        <w:t>房屋</w:t>
      </w:r>
      <w:r>
        <w:rPr>
          <w:rFonts w:eastAsia="仿宋_GB2312"/>
          <w:color w:val="auto"/>
          <w:sz w:val="32"/>
          <w:szCs w:val="32"/>
        </w:rPr>
        <w:t>面积。住宅安置房源及价格在</w:t>
      </w:r>
      <w:r>
        <w:rPr>
          <w:rFonts w:hint="eastAsia" w:eastAsia="仿宋_GB2312"/>
          <w:color w:val="auto"/>
          <w:sz w:val="32"/>
          <w:szCs w:val="32"/>
          <w:lang w:val="en-US" w:eastAsia="zh-CN"/>
        </w:rPr>
        <w:t>征收</w:t>
      </w:r>
      <w:r>
        <w:rPr>
          <w:rFonts w:eastAsia="仿宋_GB2312"/>
          <w:color w:val="auto"/>
          <w:sz w:val="32"/>
          <w:szCs w:val="32"/>
        </w:rPr>
        <w:t>现场另行公布。</w:t>
      </w:r>
    </w:p>
    <w:p w14:paraId="2FAC2455">
      <w:pPr>
        <w:spacing w:line="600" w:lineRule="exact"/>
        <w:ind w:firstLine="640" w:firstLineChars="200"/>
        <w:rPr>
          <w:color w:val="auto"/>
          <w:highlight w:val="none"/>
        </w:rPr>
      </w:pPr>
      <w:r>
        <w:rPr>
          <w:rFonts w:eastAsia="仿宋_GB2312"/>
          <w:color w:val="auto"/>
          <w:sz w:val="32"/>
          <w:szCs w:val="32"/>
        </w:rPr>
        <w:t>本项目采用“先签</w:t>
      </w:r>
      <w:r>
        <w:rPr>
          <w:rFonts w:hint="eastAsia" w:eastAsia="仿宋_GB2312"/>
          <w:color w:val="auto"/>
          <w:sz w:val="32"/>
          <w:szCs w:val="32"/>
          <w:lang w:val="en-US" w:eastAsia="zh-CN"/>
        </w:rPr>
        <w:t>约</w:t>
      </w:r>
      <w:r>
        <w:rPr>
          <w:rFonts w:eastAsia="仿宋_GB2312"/>
          <w:color w:val="auto"/>
          <w:sz w:val="32"/>
          <w:szCs w:val="32"/>
        </w:rPr>
        <w:t>，先选房”的原则确定选房顺序，具体</w:t>
      </w:r>
      <w:r>
        <w:rPr>
          <w:rFonts w:hint="eastAsia" w:eastAsia="仿宋_GB2312"/>
          <w:color w:val="auto"/>
          <w:sz w:val="32"/>
          <w:szCs w:val="32"/>
          <w:lang w:val="en-US" w:eastAsia="zh-CN"/>
        </w:rPr>
        <w:t>选房</w:t>
      </w:r>
      <w:r>
        <w:rPr>
          <w:rFonts w:hint="eastAsia" w:eastAsia="仿宋_GB2312"/>
          <w:color w:val="auto"/>
          <w:sz w:val="32"/>
          <w:szCs w:val="32"/>
          <w:highlight w:val="none"/>
          <w:lang w:val="en-US" w:eastAsia="zh-CN"/>
        </w:rPr>
        <w:t>方式</w:t>
      </w:r>
      <w:r>
        <w:rPr>
          <w:rFonts w:eastAsia="仿宋_GB2312"/>
          <w:color w:val="auto"/>
          <w:sz w:val="32"/>
          <w:szCs w:val="32"/>
          <w:highlight w:val="none"/>
        </w:rPr>
        <w:t>在</w:t>
      </w:r>
      <w:r>
        <w:rPr>
          <w:rFonts w:hint="eastAsia" w:eastAsia="仿宋_GB2312"/>
          <w:color w:val="auto"/>
          <w:sz w:val="32"/>
          <w:szCs w:val="32"/>
          <w:highlight w:val="none"/>
          <w:lang w:val="en-US" w:eastAsia="zh-CN"/>
        </w:rPr>
        <w:t>征收</w:t>
      </w:r>
      <w:r>
        <w:rPr>
          <w:rFonts w:eastAsia="仿宋_GB2312"/>
          <w:color w:val="auto"/>
          <w:sz w:val="32"/>
          <w:szCs w:val="32"/>
          <w:highlight w:val="none"/>
        </w:rPr>
        <w:t>现场公布。</w:t>
      </w:r>
    </w:p>
    <w:p w14:paraId="38083DAD">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在</w:t>
      </w:r>
      <w:r>
        <w:rPr>
          <w:rFonts w:hint="eastAsia" w:eastAsia="仿宋_GB2312"/>
          <w:color w:val="auto"/>
          <w:sz w:val="32"/>
          <w:szCs w:val="32"/>
          <w:highlight w:val="none"/>
          <w:lang w:val="en-US" w:eastAsia="zh-CN"/>
        </w:rPr>
        <w:t>征收</w:t>
      </w:r>
      <w:r>
        <w:rPr>
          <w:rFonts w:eastAsia="仿宋_GB2312"/>
          <w:color w:val="auto"/>
          <w:sz w:val="32"/>
          <w:szCs w:val="32"/>
          <w:highlight w:val="none"/>
        </w:rPr>
        <w:t>过程中如有变化，根据实际情况再行调整。</w:t>
      </w:r>
    </w:p>
    <w:p w14:paraId="5DE4DECF">
      <w:pPr>
        <w:spacing w:line="60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（三）安置房价格</w:t>
      </w:r>
    </w:p>
    <w:p w14:paraId="0F8A99F4">
      <w:pPr>
        <w:adjustRightInd w:val="0"/>
        <w:snapToGrid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梧桐广场商业房：均价</w:t>
      </w:r>
      <w:r>
        <w:rPr>
          <w:rFonts w:hint="eastAsia" w:eastAsia="仿宋_GB2312" w:cs="Times New Roman"/>
          <w:color w:val="auto"/>
          <w:sz w:val="32"/>
          <w:szCs w:val="32"/>
          <w:highlight w:val="none"/>
          <w:lang w:val="en-US" w:eastAsia="zh-CN"/>
        </w:rPr>
        <w:t>13000</w:t>
      </w:r>
      <w:r>
        <w:rPr>
          <w:rFonts w:hint="default" w:ascii="Times New Roman" w:hAnsi="Times New Roman" w:eastAsia="仿宋_GB2312" w:cs="Times New Roman"/>
          <w:color w:val="auto"/>
          <w:sz w:val="32"/>
          <w:szCs w:val="32"/>
          <w:highlight w:val="none"/>
        </w:rPr>
        <w:t>元/平方米。</w:t>
      </w:r>
    </w:p>
    <w:p w14:paraId="1CBF7BC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上述价格不含层次费，实际安置房价格以现场办公室公布的房源信息为准。</w:t>
      </w:r>
    </w:p>
    <w:p w14:paraId="308A8234">
      <w:pPr>
        <w:spacing w:line="600" w:lineRule="exact"/>
        <w:ind w:firstLine="640" w:firstLineChars="200"/>
        <w:rPr>
          <w:rFonts w:eastAsia="黑体"/>
          <w:color w:val="auto"/>
          <w:sz w:val="32"/>
          <w:szCs w:val="32"/>
          <w:highlight w:val="none"/>
        </w:rPr>
      </w:pPr>
      <w:r>
        <w:rPr>
          <w:rFonts w:hint="eastAsia" w:eastAsia="黑体"/>
          <w:color w:val="auto"/>
          <w:sz w:val="32"/>
          <w:szCs w:val="32"/>
          <w:highlight w:val="none"/>
          <w:lang w:val="en-US" w:eastAsia="zh-CN"/>
        </w:rPr>
        <w:t>六</w:t>
      </w:r>
      <w:r>
        <w:rPr>
          <w:rFonts w:eastAsia="黑体"/>
          <w:color w:val="auto"/>
          <w:sz w:val="32"/>
          <w:szCs w:val="32"/>
          <w:highlight w:val="none"/>
        </w:rPr>
        <w:t>、搬迁过渡方式</w:t>
      </w:r>
    </w:p>
    <w:p w14:paraId="14BA2F99">
      <w:pPr>
        <w:spacing w:line="600" w:lineRule="exact"/>
        <w:ind w:firstLine="640" w:firstLineChars="200"/>
        <w:rPr>
          <w:rFonts w:hint="eastAsia" w:eastAsia="黑体"/>
          <w:color w:val="auto"/>
          <w:sz w:val="32"/>
          <w:szCs w:val="32"/>
          <w:highlight w:val="none"/>
          <w:lang w:val="en-US" w:eastAsia="zh-CN"/>
        </w:rPr>
      </w:pPr>
      <w:r>
        <w:rPr>
          <w:rFonts w:ascii="Times New Roman" w:hAnsi="Times New Roman" w:eastAsia="仿宋_GB2312"/>
          <w:color w:val="auto"/>
          <w:sz w:val="32"/>
          <w:szCs w:val="32"/>
          <w:highlight w:val="none"/>
        </w:rPr>
        <w:t>被征收人应当在补偿安置协议约定或者征收补偿决定确定的搬迁期限内完成搬迁，自行过渡。</w:t>
      </w:r>
    </w:p>
    <w:p w14:paraId="106A353D">
      <w:pPr>
        <w:spacing w:line="600" w:lineRule="exact"/>
        <w:ind w:firstLine="640" w:firstLineChars="200"/>
        <w:rPr>
          <w:rFonts w:ascii="Times New Roman" w:hAnsi="Times New Roman" w:eastAsia="黑体"/>
          <w:color w:val="auto"/>
          <w:sz w:val="32"/>
          <w:szCs w:val="32"/>
          <w:highlight w:val="none"/>
        </w:rPr>
      </w:pPr>
      <w:r>
        <w:rPr>
          <w:rFonts w:hint="eastAsia" w:eastAsia="黑体"/>
          <w:color w:val="auto"/>
          <w:sz w:val="32"/>
          <w:szCs w:val="32"/>
          <w:highlight w:val="none"/>
          <w:lang w:val="en-US" w:eastAsia="zh-CN"/>
        </w:rPr>
        <w:t>七</w:t>
      </w:r>
      <w:r>
        <w:rPr>
          <w:rFonts w:ascii="Times New Roman" w:hAnsi="Times New Roman" w:eastAsia="黑体"/>
          <w:color w:val="auto"/>
          <w:sz w:val="32"/>
          <w:szCs w:val="32"/>
          <w:highlight w:val="none"/>
        </w:rPr>
        <w:t>、拟定的签</w:t>
      </w:r>
      <w:r>
        <w:rPr>
          <w:rFonts w:hint="eastAsia" w:eastAsia="黑体"/>
          <w:color w:val="auto"/>
          <w:sz w:val="32"/>
          <w:szCs w:val="32"/>
          <w:highlight w:val="none"/>
          <w:lang w:val="en-US" w:eastAsia="zh-CN"/>
        </w:rPr>
        <w:t>约</w:t>
      </w:r>
      <w:r>
        <w:rPr>
          <w:rFonts w:ascii="Times New Roman" w:hAnsi="Times New Roman" w:eastAsia="黑体"/>
          <w:color w:val="auto"/>
          <w:sz w:val="32"/>
          <w:szCs w:val="32"/>
          <w:highlight w:val="none"/>
        </w:rPr>
        <w:t>期限</w:t>
      </w:r>
    </w:p>
    <w:p w14:paraId="3F2F101D">
      <w:pPr>
        <w:spacing w:line="60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自房屋征收决定公告之日起四个月内。</w:t>
      </w:r>
    </w:p>
    <w:p w14:paraId="65BA350D">
      <w:pPr>
        <w:spacing w:line="600" w:lineRule="exact"/>
        <w:ind w:firstLine="640" w:firstLineChars="200"/>
        <w:rPr>
          <w:rFonts w:ascii="Times New Roman" w:hAnsi="Times New Roman" w:eastAsia="黑体"/>
          <w:color w:val="auto"/>
          <w:sz w:val="32"/>
          <w:szCs w:val="32"/>
        </w:rPr>
      </w:pPr>
      <w:r>
        <w:rPr>
          <w:rFonts w:hint="eastAsia" w:eastAsia="黑体"/>
          <w:color w:val="auto"/>
          <w:sz w:val="32"/>
          <w:szCs w:val="32"/>
          <w:lang w:val="en-US" w:eastAsia="zh-CN"/>
        </w:rPr>
        <w:t>八</w:t>
      </w:r>
      <w:r>
        <w:rPr>
          <w:rFonts w:ascii="Times New Roman" w:hAnsi="Times New Roman" w:eastAsia="黑体"/>
          <w:color w:val="auto"/>
          <w:sz w:val="32"/>
          <w:szCs w:val="32"/>
        </w:rPr>
        <w:t>、拟定的搬迁奖励期限</w:t>
      </w:r>
    </w:p>
    <w:p w14:paraId="61E02A39">
      <w:pPr>
        <w:adjustRightInd w:val="0"/>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具体搬迁奖励期限待征收决定公告后在征收现场公布。</w:t>
      </w:r>
    </w:p>
    <w:p w14:paraId="5B80E80C">
      <w:pPr>
        <w:pStyle w:val="2"/>
        <w:rPr>
          <w:rFonts w:ascii="Times New Roman" w:hAnsi="Times New Roman" w:eastAsia="仿宋_GB2312"/>
          <w:color w:val="auto"/>
          <w:sz w:val="32"/>
          <w:szCs w:val="32"/>
        </w:rPr>
        <w:sectPr>
          <w:headerReference r:id="rId3" w:type="default"/>
          <w:footerReference r:id="rId4" w:type="default"/>
          <w:pgSz w:w="11906" w:h="16838"/>
          <w:pgMar w:top="2098" w:right="1361" w:bottom="1418" w:left="1588" w:header="851" w:footer="992" w:gutter="0"/>
          <w:cols w:space="720" w:num="1"/>
          <w:docGrid w:linePitch="312" w:charSpace="0"/>
        </w:sectPr>
      </w:pPr>
    </w:p>
    <w:p w14:paraId="5C016177">
      <w:pPr>
        <w:jc w:val="center"/>
        <w:rPr>
          <w:rFonts w:hint="default" w:ascii="Times New Roman" w:hAnsi="Times New Roman" w:cs="Times New Roman"/>
        </w:rPr>
      </w:pPr>
      <w:r>
        <w:drawing>
          <wp:inline distT="0" distB="0" distL="114300" distR="114300">
            <wp:extent cx="8158480" cy="5730240"/>
            <wp:effectExtent l="9525" t="9525" r="2349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158480" cy="5730240"/>
                    </a:xfrm>
                    <a:prstGeom prst="rect">
                      <a:avLst/>
                    </a:prstGeom>
                    <a:noFill/>
                    <a:ln>
                      <a:solidFill>
                        <a:schemeClr val="tx1"/>
                      </a:solidFill>
                    </a:ln>
                  </pic:spPr>
                </pic:pic>
              </a:graphicData>
            </a:graphic>
          </wp:inline>
        </w:drawing>
      </w:r>
    </w:p>
    <w:sectPr>
      <w:pgSz w:w="16838" w:h="11906" w:orient="landscape"/>
      <w:pgMar w:top="1588" w:right="2098" w:bottom="1361"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51EE1">
    <w:pPr>
      <w:pStyle w:val="9"/>
      <w:ind w:firstLine="180" w:firstLineChars="1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C028EE">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pt;height:144pt;width:144pt;mso-position-horizontal:center;mso-position-horizontal-relative:margin;mso-wrap-style:none;z-index:251659264;mso-width-relative:page;mso-height-relative:page;" filled="f" stroked="f" coordsize="21600,21600" o:gfxdata="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fVudQAAAAGAQAADwAAAAAAAAABACAAAAAiAAAAZHJzL2Rvd25yZXYu&#10;eG1sUEsBAhQAFAAAAAgAh07iQF4aj184AgAAbwQAAA4AAAAAAAAAAQAgAAAAIwEAAGRycy9lMm9E&#10;b2MueG1sUEsFBgAAAAAGAAYAWQEAAM0FAAAAAA==&#10;">
              <v:fill on="f" focussize="0,0"/>
              <v:stroke on="f" weight="0.5pt"/>
              <v:imagedata o:title=""/>
              <o:lock v:ext="edit" aspectratio="f"/>
              <v:textbox inset="0mm,0mm,0mm,0mm" style="mso-fit-shape-to-text:t;">
                <w:txbxContent>
                  <w:p w14:paraId="5BC028EE">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652F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EB81E"/>
    <w:multiLevelType w:val="singleLevel"/>
    <w:tmpl w:val="869EB81E"/>
    <w:lvl w:ilvl="0" w:tentative="0">
      <w:start w:val="1"/>
      <w:numFmt w:val="chineseCounting"/>
      <w:suff w:val="nothing"/>
      <w:lvlText w:val="%1、"/>
      <w:lvlJc w:val="left"/>
      <w:rPr>
        <w:rFonts w:hint="eastAsia"/>
      </w:rPr>
    </w:lvl>
  </w:abstractNum>
  <w:abstractNum w:abstractNumId="1">
    <w:nsid w:val="F50DDCB4"/>
    <w:multiLevelType w:val="singleLevel"/>
    <w:tmpl w:val="F50DDCB4"/>
    <w:lvl w:ilvl="0" w:tentative="0">
      <w:start w:val="2"/>
      <w:numFmt w:val="decimal"/>
      <w:suff w:val="space"/>
      <w:lvlText w:val="%1."/>
      <w:lvlJc w:val="left"/>
    </w:lvl>
  </w:abstractNum>
  <w:abstractNum w:abstractNumId="2">
    <w:nsid w:val="4B559DA8"/>
    <w:multiLevelType w:val="singleLevel"/>
    <w:tmpl w:val="4B559DA8"/>
    <w:lvl w:ilvl="0" w:tentative="0">
      <w:start w:val="2"/>
      <w:numFmt w:val="decimal"/>
      <w:suff w:val="space"/>
      <w:lvlText w:val="%1."/>
      <w:lvlJc w:val="left"/>
    </w:lvl>
  </w:abstractNum>
  <w:abstractNum w:abstractNumId="3">
    <w:nsid w:val="77790412"/>
    <w:multiLevelType w:val="singleLevel"/>
    <w:tmpl w:val="77790412"/>
    <w:lvl w:ilvl="0" w:tentative="0">
      <w:start w:val="7"/>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ZWE0ZDcyMGNmZGU1YzE5ZWRmNjFmNDljMDExN2EifQ=="/>
    <w:docVar w:name="KSO_WPS_MARK_KEY" w:val="fae0c133-bbf2-4cfd-afb2-8e7e61470499"/>
  </w:docVars>
  <w:rsids>
    <w:rsidRoot w:val="003450D5"/>
    <w:rsid w:val="00002192"/>
    <w:rsid w:val="000076B3"/>
    <w:rsid w:val="0001398C"/>
    <w:rsid w:val="00015F4B"/>
    <w:rsid w:val="000203C6"/>
    <w:rsid w:val="0002056D"/>
    <w:rsid w:val="00023C26"/>
    <w:rsid w:val="00023DC1"/>
    <w:rsid w:val="000248D4"/>
    <w:rsid w:val="00027727"/>
    <w:rsid w:val="00031F25"/>
    <w:rsid w:val="00035356"/>
    <w:rsid w:val="00041B70"/>
    <w:rsid w:val="000430EC"/>
    <w:rsid w:val="000449EE"/>
    <w:rsid w:val="00047E2F"/>
    <w:rsid w:val="00054F6E"/>
    <w:rsid w:val="00055E36"/>
    <w:rsid w:val="0006126E"/>
    <w:rsid w:val="00062147"/>
    <w:rsid w:val="00064819"/>
    <w:rsid w:val="00064974"/>
    <w:rsid w:val="00066520"/>
    <w:rsid w:val="00066D47"/>
    <w:rsid w:val="00067FFC"/>
    <w:rsid w:val="0007016D"/>
    <w:rsid w:val="00073A66"/>
    <w:rsid w:val="00075478"/>
    <w:rsid w:val="00080A1B"/>
    <w:rsid w:val="00080E4C"/>
    <w:rsid w:val="000823F3"/>
    <w:rsid w:val="000831A0"/>
    <w:rsid w:val="000854A3"/>
    <w:rsid w:val="00090BA2"/>
    <w:rsid w:val="00092F6F"/>
    <w:rsid w:val="000943ED"/>
    <w:rsid w:val="0009760F"/>
    <w:rsid w:val="000A037B"/>
    <w:rsid w:val="000A3B41"/>
    <w:rsid w:val="000B1051"/>
    <w:rsid w:val="000B2588"/>
    <w:rsid w:val="000B337C"/>
    <w:rsid w:val="000B4AC0"/>
    <w:rsid w:val="000C17AA"/>
    <w:rsid w:val="000C37D7"/>
    <w:rsid w:val="000D3CFC"/>
    <w:rsid w:val="000D481B"/>
    <w:rsid w:val="000D4B67"/>
    <w:rsid w:val="000D6D94"/>
    <w:rsid w:val="000E0C09"/>
    <w:rsid w:val="000E2850"/>
    <w:rsid w:val="000E5035"/>
    <w:rsid w:val="000E5955"/>
    <w:rsid w:val="000F2A87"/>
    <w:rsid w:val="000F6543"/>
    <w:rsid w:val="00102010"/>
    <w:rsid w:val="001043FB"/>
    <w:rsid w:val="001057C9"/>
    <w:rsid w:val="00116608"/>
    <w:rsid w:val="00116FB2"/>
    <w:rsid w:val="001205E0"/>
    <w:rsid w:val="00122213"/>
    <w:rsid w:val="001303AC"/>
    <w:rsid w:val="001331A2"/>
    <w:rsid w:val="0014244B"/>
    <w:rsid w:val="00142760"/>
    <w:rsid w:val="00143842"/>
    <w:rsid w:val="00146765"/>
    <w:rsid w:val="0014776E"/>
    <w:rsid w:val="00154589"/>
    <w:rsid w:val="00161233"/>
    <w:rsid w:val="00161D08"/>
    <w:rsid w:val="00162156"/>
    <w:rsid w:val="00164D06"/>
    <w:rsid w:val="001741FA"/>
    <w:rsid w:val="00175E4D"/>
    <w:rsid w:val="00181794"/>
    <w:rsid w:val="00196CA4"/>
    <w:rsid w:val="00197451"/>
    <w:rsid w:val="001979CA"/>
    <w:rsid w:val="001A0F30"/>
    <w:rsid w:val="001A7A12"/>
    <w:rsid w:val="001B42E4"/>
    <w:rsid w:val="001C00EE"/>
    <w:rsid w:val="001C5DE4"/>
    <w:rsid w:val="001D24A8"/>
    <w:rsid w:val="001D5B31"/>
    <w:rsid w:val="001D6434"/>
    <w:rsid w:val="001D6587"/>
    <w:rsid w:val="001D706C"/>
    <w:rsid w:val="001D7AFC"/>
    <w:rsid w:val="001D7D69"/>
    <w:rsid w:val="001E3EFC"/>
    <w:rsid w:val="001E7D99"/>
    <w:rsid w:val="00201429"/>
    <w:rsid w:val="00202A9B"/>
    <w:rsid w:val="00203424"/>
    <w:rsid w:val="0020520E"/>
    <w:rsid w:val="00213888"/>
    <w:rsid w:val="002165B5"/>
    <w:rsid w:val="0023121F"/>
    <w:rsid w:val="00233149"/>
    <w:rsid w:val="00235959"/>
    <w:rsid w:val="00236878"/>
    <w:rsid w:val="002408D2"/>
    <w:rsid w:val="00241C28"/>
    <w:rsid w:val="0024283C"/>
    <w:rsid w:val="0024380D"/>
    <w:rsid w:val="002451FE"/>
    <w:rsid w:val="00251DA1"/>
    <w:rsid w:val="002549ED"/>
    <w:rsid w:val="00255366"/>
    <w:rsid w:val="00255BA4"/>
    <w:rsid w:val="00260A7C"/>
    <w:rsid w:val="002615E4"/>
    <w:rsid w:val="00265833"/>
    <w:rsid w:val="00265D7D"/>
    <w:rsid w:val="00266200"/>
    <w:rsid w:val="0026644F"/>
    <w:rsid w:val="00266571"/>
    <w:rsid w:val="00271F06"/>
    <w:rsid w:val="002735E8"/>
    <w:rsid w:val="0027604D"/>
    <w:rsid w:val="0028089F"/>
    <w:rsid w:val="00281649"/>
    <w:rsid w:val="00282BCF"/>
    <w:rsid w:val="00287C62"/>
    <w:rsid w:val="002972EA"/>
    <w:rsid w:val="002A3DCB"/>
    <w:rsid w:val="002B125C"/>
    <w:rsid w:val="002B32D4"/>
    <w:rsid w:val="002B6DB8"/>
    <w:rsid w:val="002C0B6F"/>
    <w:rsid w:val="002C0CD7"/>
    <w:rsid w:val="002C2C7D"/>
    <w:rsid w:val="002C3697"/>
    <w:rsid w:val="002C4707"/>
    <w:rsid w:val="002D0CAB"/>
    <w:rsid w:val="002D25F9"/>
    <w:rsid w:val="002D37F5"/>
    <w:rsid w:val="002E319B"/>
    <w:rsid w:val="002E4486"/>
    <w:rsid w:val="002E61AE"/>
    <w:rsid w:val="002F1257"/>
    <w:rsid w:val="002F2C42"/>
    <w:rsid w:val="002F30A0"/>
    <w:rsid w:val="002F747B"/>
    <w:rsid w:val="00304F0A"/>
    <w:rsid w:val="0030507F"/>
    <w:rsid w:val="00305B03"/>
    <w:rsid w:val="0030734E"/>
    <w:rsid w:val="00307B35"/>
    <w:rsid w:val="003123C7"/>
    <w:rsid w:val="00315211"/>
    <w:rsid w:val="00315F9C"/>
    <w:rsid w:val="00317C5B"/>
    <w:rsid w:val="003253DB"/>
    <w:rsid w:val="0032576E"/>
    <w:rsid w:val="0032598B"/>
    <w:rsid w:val="003311BF"/>
    <w:rsid w:val="0033486C"/>
    <w:rsid w:val="00340D22"/>
    <w:rsid w:val="00343BFC"/>
    <w:rsid w:val="00343C78"/>
    <w:rsid w:val="00344EE1"/>
    <w:rsid w:val="003450D5"/>
    <w:rsid w:val="00346118"/>
    <w:rsid w:val="00351A8C"/>
    <w:rsid w:val="003535D4"/>
    <w:rsid w:val="00353BED"/>
    <w:rsid w:val="00354723"/>
    <w:rsid w:val="003559A0"/>
    <w:rsid w:val="003717D5"/>
    <w:rsid w:val="0037298B"/>
    <w:rsid w:val="00374157"/>
    <w:rsid w:val="00376F70"/>
    <w:rsid w:val="00377437"/>
    <w:rsid w:val="003800D7"/>
    <w:rsid w:val="00380C52"/>
    <w:rsid w:val="0038326D"/>
    <w:rsid w:val="003840EE"/>
    <w:rsid w:val="0038436B"/>
    <w:rsid w:val="00390CCF"/>
    <w:rsid w:val="00391F7A"/>
    <w:rsid w:val="003968B7"/>
    <w:rsid w:val="003A3BD6"/>
    <w:rsid w:val="003B0B9C"/>
    <w:rsid w:val="003B0CCC"/>
    <w:rsid w:val="003B0CDC"/>
    <w:rsid w:val="003B4F93"/>
    <w:rsid w:val="003C05EA"/>
    <w:rsid w:val="003C0F0F"/>
    <w:rsid w:val="003C274D"/>
    <w:rsid w:val="003D42AE"/>
    <w:rsid w:val="003D5B1B"/>
    <w:rsid w:val="003E39F4"/>
    <w:rsid w:val="003E6338"/>
    <w:rsid w:val="003F188F"/>
    <w:rsid w:val="003F2399"/>
    <w:rsid w:val="003F3D94"/>
    <w:rsid w:val="003F3DF8"/>
    <w:rsid w:val="003F68A8"/>
    <w:rsid w:val="00400AB2"/>
    <w:rsid w:val="00401A9D"/>
    <w:rsid w:val="00402973"/>
    <w:rsid w:val="004034CF"/>
    <w:rsid w:val="00403EA9"/>
    <w:rsid w:val="00404011"/>
    <w:rsid w:val="00405387"/>
    <w:rsid w:val="00406A05"/>
    <w:rsid w:val="004114F4"/>
    <w:rsid w:val="0041580C"/>
    <w:rsid w:val="00421899"/>
    <w:rsid w:val="00425F94"/>
    <w:rsid w:val="004265FE"/>
    <w:rsid w:val="00426A13"/>
    <w:rsid w:val="0043026D"/>
    <w:rsid w:val="00432029"/>
    <w:rsid w:val="00442C8E"/>
    <w:rsid w:val="004479C6"/>
    <w:rsid w:val="004512C0"/>
    <w:rsid w:val="0045289C"/>
    <w:rsid w:val="0045358B"/>
    <w:rsid w:val="004535B0"/>
    <w:rsid w:val="00456C04"/>
    <w:rsid w:val="0046232D"/>
    <w:rsid w:val="0046249F"/>
    <w:rsid w:val="00462513"/>
    <w:rsid w:val="00464370"/>
    <w:rsid w:val="00465EF6"/>
    <w:rsid w:val="00465F2E"/>
    <w:rsid w:val="00470DA2"/>
    <w:rsid w:val="00471A9C"/>
    <w:rsid w:val="004838BE"/>
    <w:rsid w:val="00484EAB"/>
    <w:rsid w:val="00486EA3"/>
    <w:rsid w:val="004873A2"/>
    <w:rsid w:val="00490544"/>
    <w:rsid w:val="0049136F"/>
    <w:rsid w:val="0049391F"/>
    <w:rsid w:val="0049667C"/>
    <w:rsid w:val="004A07AD"/>
    <w:rsid w:val="004A171B"/>
    <w:rsid w:val="004A6CBE"/>
    <w:rsid w:val="004A7898"/>
    <w:rsid w:val="004B2FC5"/>
    <w:rsid w:val="004B4477"/>
    <w:rsid w:val="004B492B"/>
    <w:rsid w:val="004B7A9B"/>
    <w:rsid w:val="004C035B"/>
    <w:rsid w:val="004C5980"/>
    <w:rsid w:val="004C6CC0"/>
    <w:rsid w:val="004C7104"/>
    <w:rsid w:val="004D3027"/>
    <w:rsid w:val="004E4FD0"/>
    <w:rsid w:val="004F00C3"/>
    <w:rsid w:val="004F3883"/>
    <w:rsid w:val="004F619A"/>
    <w:rsid w:val="004F67E2"/>
    <w:rsid w:val="00502DFF"/>
    <w:rsid w:val="00512E78"/>
    <w:rsid w:val="00512F04"/>
    <w:rsid w:val="00513EC3"/>
    <w:rsid w:val="00516A60"/>
    <w:rsid w:val="00520E6F"/>
    <w:rsid w:val="00521E47"/>
    <w:rsid w:val="0053119C"/>
    <w:rsid w:val="00540CE2"/>
    <w:rsid w:val="00542078"/>
    <w:rsid w:val="005504B6"/>
    <w:rsid w:val="00552ABA"/>
    <w:rsid w:val="00554A7D"/>
    <w:rsid w:val="00557E66"/>
    <w:rsid w:val="005609A4"/>
    <w:rsid w:val="00561B94"/>
    <w:rsid w:val="00561CB9"/>
    <w:rsid w:val="005673C2"/>
    <w:rsid w:val="0057107C"/>
    <w:rsid w:val="005711DB"/>
    <w:rsid w:val="00571B71"/>
    <w:rsid w:val="00573C22"/>
    <w:rsid w:val="00577FE1"/>
    <w:rsid w:val="00580D56"/>
    <w:rsid w:val="00581A9D"/>
    <w:rsid w:val="005848F8"/>
    <w:rsid w:val="00584FED"/>
    <w:rsid w:val="00585771"/>
    <w:rsid w:val="00585C26"/>
    <w:rsid w:val="0058664D"/>
    <w:rsid w:val="0059269E"/>
    <w:rsid w:val="00592E3E"/>
    <w:rsid w:val="0059357D"/>
    <w:rsid w:val="00593D69"/>
    <w:rsid w:val="00593FA8"/>
    <w:rsid w:val="00595C42"/>
    <w:rsid w:val="00597321"/>
    <w:rsid w:val="005A1CB7"/>
    <w:rsid w:val="005A25A8"/>
    <w:rsid w:val="005A3462"/>
    <w:rsid w:val="005B0314"/>
    <w:rsid w:val="005B27A7"/>
    <w:rsid w:val="005B29EC"/>
    <w:rsid w:val="005B316D"/>
    <w:rsid w:val="005B3BCD"/>
    <w:rsid w:val="005C2EA9"/>
    <w:rsid w:val="005C38DF"/>
    <w:rsid w:val="005C57CB"/>
    <w:rsid w:val="005C6BC2"/>
    <w:rsid w:val="005D150C"/>
    <w:rsid w:val="005D2CD0"/>
    <w:rsid w:val="005E2D9C"/>
    <w:rsid w:val="005E343A"/>
    <w:rsid w:val="005E381B"/>
    <w:rsid w:val="005E74F6"/>
    <w:rsid w:val="005E76EB"/>
    <w:rsid w:val="005F0356"/>
    <w:rsid w:val="005F455A"/>
    <w:rsid w:val="006026D5"/>
    <w:rsid w:val="00602BCC"/>
    <w:rsid w:val="00604003"/>
    <w:rsid w:val="00604D3D"/>
    <w:rsid w:val="0060633E"/>
    <w:rsid w:val="00606936"/>
    <w:rsid w:val="0061131B"/>
    <w:rsid w:val="00617577"/>
    <w:rsid w:val="00617A08"/>
    <w:rsid w:val="00622C01"/>
    <w:rsid w:val="00630412"/>
    <w:rsid w:val="00632477"/>
    <w:rsid w:val="00636997"/>
    <w:rsid w:val="0063780C"/>
    <w:rsid w:val="00640DC2"/>
    <w:rsid w:val="00641D2B"/>
    <w:rsid w:val="006467D0"/>
    <w:rsid w:val="00646BF7"/>
    <w:rsid w:val="00657033"/>
    <w:rsid w:val="0066245E"/>
    <w:rsid w:val="00662ACD"/>
    <w:rsid w:val="00664200"/>
    <w:rsid w:val="0066443B"/>
    <w:rsid w:val="006653FC"/>
    <w:rsid w:val="00665767"/>
    <w:rsid w:val="006740AD"/>
    <w:rsid w:val="00680ED1"/>
    <w:rsid w:val="0068324D"/>
    <w:rsid w:val="006863E0"/>
    <w:rsid w:val="006866A9"/>
    <w:rsid w:val="006866DE"/>
    <w:rsid w:val="00687DC4"/>
    <w:rsid w:val="00690E52"/>
    <w:rsid w:val="0069205F"/>
    <w:rsid w:val="006925AE"/>
    <w:rsid w:val="00694588"/>
    <w:rsid w:val="006A07DF"/>
    <w:rsid w:val="006A5FEC"/>
    <w:rsid w:val="006A722A"/>
    <w:rsid w:val="006A75E5"/>
    <w:rsid w:val="006B2D95"/>
    <w:rsid w:val="006C79CF"/>
    <w:rsid w:val="006C7B4A"/>
    <w:rsid w:val="006D34BD"/>
    <w:rsid w:val="006D456A"/>
    <w:rsid w:val="006D76F8"/>
    <w:rsid w:val="006E614B"/>
    <w:rsid w:val="006E78E9"/>
    <w:rsid w:val="006F17A4"/>
    <w:rsid w:val="006F6B8B"/>
    <w:rsid w:val="00703E4A"/>
    <w:rsid w:val="0070595B"/>
    <w:rsid w:val="00707254"/>
    <w:rsid w:val="007158F1"/>
    <w:rsid w:val="0072199C"/>
    <w:rsid w:val="00734491"/>
    <w:rsid w:val="00736636"/>
    <w:rsid w:val="007435BE"/>
    <w:rsid w:val="00743F03"/>
    <w:rsid w:val="00744C02"/>
    <w:rsid w:val="007458C9"/>
    <w:rsid w:val="00746519"/>
    <w:rsid w:val="007540D2"/>
    <w:rsid w:val="00757B4F"/>
    <w:rsid w:val="00760C7B"/>
    <w:rsid w:val="00761663"/>
    <w:rsid w:val="00764CC2"/>
    <w:rsid w:val="00766C8B"/>
    <w:rsid w:val="0076710B"/>
    <w:rsid w:val="00767511"/>
    <w:rsid w:val="00770B92"/>
    <w:rsid w:val="007721AF"/>
    <w:rsid w:val="007753CF"/>
    <w:rsid w:val="00775711"/>
    <w:rsid w:val="00775FA7"/>
    <w:rsid w:val="007769DF"/>
    <w:rsid w:val="00780E5F"/>
    <w:rsid w:val="0078299C"/>
    <w:rsid w:val="0078550C"/>
    <w:rsid w:val="007868E6"/>
    <w:rsid w:val="00795D5C"/>
    <w:rsid w:val="007A169A"/>
    <w:rsid w:val="007A198F"/>
    <w:rsid w:val="007A1B68"/>
    <w:rsid w:val="007A311A"/>
    <w:rsid w:val="007A4FF6"/>
    <w:rsid w:val="007A657E"/>
    <w:rsid w:val="007B4949"/>
    <w:rsid w:val="007B5842"/>
    <w:rsid w:val="007B72DE"/>
    <w:rsid w:val="007C5E76"/>
    <w:rsid w:val="007C7843"/>
    <w:rsid w:val="007D0417"/>
    <w:rsid w:val="007D04B3"/>
    <w:rsid w:val="007D0F9E"/>
    <w:rsid w:val="007D18D9"/>
    <w:rsid w:val="007D30E1"/>
    <w:rsid w:val="007D6498"/>
    <w:rsid w:val="007E30CD"/>
    <w:rsid w:val="007E69E4"/>
    <w:rsid w:val="007F0DFB"/>
    <w:rsid w:val="007F5C92"/>
    <w:rsid w:val="007F5F8B"/>
    <w:rsid w:val="00803343"/>
    <w:rsid w:val="0081147D"/>
    <w:rsid w:val="00813AF0"/>
    <w:rsid w:val="00820C75"/>
    <w:rsid w:val="00820E20"/>
    <w:rsid w:val="0082770C"/>
    <w:rsid w:val="00830DD9"/>
    <w:rsid w:val="008328FC"/>
    <w:rsid w:val="008359FB"/>
    <w:rsid w:val="00836E59"/>
    <w:rsid w:val="00840195"/>
    <w:rsid w:val="00840743"/>
    <w:rsid w:val="00843EDE"/>
    <w:rsid w:val="0084470B"/>
    <w:rsid w:val="008455AA"/>
    <w:rsid w:val="008456FB"/>
    <w:rsid w:val="00845ED0"/>
    <w:rsid w:val="0085018A"/>
    <w:rsid w:val="0085126D"/>
    <w:rsid w:val="00854DAF"/>
    <w:rsid w:val="00856744"/>
    <w:rsid w:val="008619D2"/>
    <w:rsid w:val="008621C9"/>
    <w:rsid w:val="008622D1"/>
    <w:rsid w:val="00862341"/>
    <w:rsid w:val="008652C9"/>
    <w:rsid w:val="00866596"/>
    <w:rsid w:val="00866CFC"/>
    <w:rsid w:val="0086727C"/>
    <w:rsid w:val="00872E88"/>
    <w:rsid w:val="00874C3A"/>
    <w:rsid w:val="008750F2"/>
    <w:rsid w:val="00877944"/>
    <w:rsid w:val="00882F40"/>
    <w:rsid w:val="00884C78"/>
    <w:rsid w:val="00886DF6"/>
    <w:rsid w:val="00890B18"/>
    <w:rsid w:val="00891895"/>
    <w:rsid w:val="00894A59"/>
    <w:rsid w:val="008A0CD4"/>
    <w:rsid w:val="008A7679"/>
    <w:rsid w:val="008B468B"/>
    <w:rsid w:val="008B7D20"/>
    <w:rsid w:val="008C0BC6"/>
    <w:rsid w:val="008C7686"/>
    <w:rsid w:val="008D3CC0"/>
    <w:rsid w:val="008D5E6F"/>
    <w:rsid w:val="008D7F5E"/>
    <w:rsid w:val="008D7F66"/>
    <w:rsid w:val="008E084E"/>
    <w:rsid w:val="008E0FAA"/>
    <w:rsid w:val="008E6805"/>
    <w:rsid w:val="008E7DE6"/>
    <w:rsid w:val="008F139A"/>
    <w:rsid w:val="008F3D34"/>
    <w:rsid w:val="008F3F51"/>
    <w:rsid w:val="008F4BAF"/>
    <w:rsid w:val="0090484A"/>
    <w:rsid w:val="00905AB1"/>
    <w:rsid w:val="00906DD0"/>
    <w:rsid w:val="00920EC1"/>
    <w:rsid w:val="00927468"/>
    <w:rsid w:val="00927A09"/>
    <w:rsid w:val="009318E8"/>
    <w:rsid w:val="00932C89"/>
    <w:rsid w:val="00932CCE"/>
    <w:rsid w:val="00935C1E"/>
    <w:rsid w:val="00935D25"/>
    <w:rsid w:val="00937299"/>
    <w:rsid w:val="00937A8B"/>
    <w:rsid w:val="009429F1"/>
    <w:rsid w:val="00943620"/>
    <w:rsid w:val="00951882"/>
    <w:rsid w:val="0095352A"/>
    <w:rsid w:val="009563F3"/>
    <w:rsid w:val="009575F2"/>
    <w:rsid w:val="00960F90"/>
    <w:rsid w:val="00962662"/>
    <w:rsid w:val="0096549D"/>
    <w:rsid w:val="009656B8"/>
    <w:rsid w:val="009667B8"/>
    <w:rsid w:val="009712EF"/>
    <w:rsid w:val="00974FD0"/>
    <w:rsid w:val="00982279"/>
    <w:rsid w:val="00985BB7"/>
    <w:rsid w:val="00990B7F"/>
    <w:rsid w:val="00990D92"/>
    <w:rsid w:val="0099712F"/>
    <w:rsid w:val="0099798D"/>
    <w:rsid w:val="009A08E1"/>
    <w:rsid w:val="009A198C"/>
    <w:rsid w:val="009A2743"/>
    <w:rsid w:val="009A3B97"/>
    <w:rsid w:val="009A70DA"/>
    <w:rsid w:val="009B10A8"/>
    <w:rsid w:val="009B2890"/>
    <w:rsid w:val="009C30A1"/>
    <w:rsid w:val="009C3119"/>
    <w:rsid w:val="009C3FFD"/>
    <w:rsid w:val="009D308D"/>
    <w:rsid w:val="009D5C4C"/>
    <w:rsid w:val="009D6219"/>
    <w:rsid w:val="009D73F8"/>
    <w:rsid w:val="009E26AD"/>
    <w:rsid w:val="009E2DC4"/>
    <w:rsid w:val="009F659C"/>
    <w:rsid w:val="009F65F1"/>
    <w:rsid w:val="009F7C20"/>
    <w:rsid w:val="00A00718"/>
    <w:rsid w:val="00A01E22"/>
    <w:rsid w:val="00A1252D"/>
    <w:rsid w:val="00A17E29"/>
    <w:rsid w:val="00A20B82"/>
    <w:rsid w:val="00A21571"/>
    <w:rsid w:val="00A24435"/>
    <w:rsid w:val="00A30022"/>
    <w:rsid w:val="00A311E1"/>
    <w:rsid w:val="00A358AE"/>
    <w:rsid w:val="00A435D8"/>
    <w:rsid w:val="00A448C6"/>
    <w:rsid w:val="00A44A18"/>
    <w:rsid w:val="00A45ECE"/>
    <w:rsid w:val="00A51562"/>
    <w:rsid w:val="00A554C6"/>
    <w:rsid w:val="00A56563"/>
    <w:rsid w:val="00A56B0A"/>
    <w:rsid w:val="00A65175"/>
    <w:rsid w:val="00A709E2"/>
    <w:rsid w:val="00A7544C"/>
    <w:rsid w:val="00A76E53"/>
    <w:rsid w:val="00A81D1C"/>
    <w:rsid w:val="00A85E3C"/>
    <w:rsid w:val="00A87EE3"/>
    <w:rsid w:val="00A90BD0"/>
    <w:rsid w:val="00A9212A"/>
    <w:rsid w:val="00A9474D"/>
    <w:rsid w:val="00AA3FEB"/>
    <w:rsid w:val="00AA561D"/>
    <w:rsid w:val="00AA6A88"/>
    <w:rsid w:val="00AB3020"/>
    <w:rsid w:val="00AB3EF1"/>
    <w:rsid w:val="00AB7B78"/>
    <w:rsid w:val="00AC5010"/>
    <w:rsid w:val="00AD0771"/>
    <w:rsid w:val="00AE4F5E"/>
    <w:rsid w:val="00AF1D3F"/>
    <w:rsid w:val="00AF1ED1"/>
    <w:rsid w:val="00AF2A96"/>
    <w:rsid w:val="00AF72F8"/>
    <w:rsid w:val="00AF796A"/>
    <w:rsid w:val="00B02E79"/>
    <w:rsid w:val="00B11946"/>
    <w:rsid w:val="00B1788C"/>
    <w:rsid w:val="00B20C1E"/>
    <w:rsid w:val="00B23785"/>
    <w:rsid w:val="00B23963"/>
    <w:rsid w:val="00B27DBE"/>
    <w:rsid w:val="00B30C74"/>
    <w:rsid w:val="00B3342E"/>
    <w:rsid w:val="00B33CAA"/>
    <w:rsid w:val="00B34587"/>
    <w:rsid w:val="00B41A52"/>
    <w:rsid w:val="00B46F4E"/>
    <w:rsid w:val="00B519EC"/>
    <w:rsid w:val="00B611FE"/>
    <w:rsid w:val="00B63141"/>
    <w:rsid w:val="00B76096"/>
    <w:rsid w:val="00B7648D"/>
    <w:rsid w:val="00B7704F"/>
    <w:rsid w:val="00B77C1B"/>
    <w:rsid w:val="00B80774"/>
    <w:rsid w:val="00B842B6"/>
    <w:rsid w:val="00B85A28"/>
    <w:rsid w:val="00B91A56"/>
    <w:rsid w:val="00B933AD"/>
    <w:rsid w:val="00BA005F"/>
    <w:rsid w:val="00BA2675"/>
    <w:rsid w:val="00BA4F97"/>
    <w:rsid w:val="00BA5D25"/>
    <w:rsid w:val="00BA6C18"/>
    <w:rsid w:val="00BA75F3"/>
    <w:rsid w:val="00BB10AD"/>
    <w:rsid w:val="00BB39C0"/>
    <w:rsid w:val="00BC0744"/>
    <w:rsid w:val="00BC29CC"/>
    <w:rsid w:val="00BC3708"/>
    <w:rsid w:val="00BC3CBF"/>
    <w:rsid w:val="00BC3DD9"/>
    <w:rsid w:val="00BC7C61"/>
    <w:rsid w:val="00BC7F15"/>
    <w:rsid w:val="00BD01DB"/>
    <w:rsid w:val="00BD6FF0"/>
    <w:rsid w:val="00BD7544"/>
    <w:rsid w:val="00BD7AB3"/>
    <w:rsid w:val="00BE0E23"/>
    <w:rsid w:val="00BE28E5"/>
    <w:rsid w:val="00BE2D47"/>
    <w:rsid w:val="00BE63F6"/>
    <w:rsid w:val="00BE6754"/>
    <w:rsid w:val="00BE69E2"/>
    <w:rsid w:val="00BF2421"/>
    <w:rsid w:val="00BF2BD5"/>
    <w:rsid w:val="00BF693C"/>
    <w:rsid w:val="00BF7447"/>
    <w:rsid w:val="00C069AC"/>
    <w:rsid w:val="00C12ED2"/>
    <w:rsid w:val="00C22734"/>
    <w:rsid w:val="00C24146"/>
    <w:rsid w:val="00C25494"/>
    <w:rsid w:val="00C50559"/>
    <w:rsid w:val="00C6023B"/>
    <w:rsid w:val="00C719DB"/>
    <w:rsid w:val="00C7227F"/>
    <w:rsid w:val="00C730EC"/>
    <w:rsid w:val="00C755EE"/>
    <w:rsid w:val="00C76965"/>
    <w:rsid w:val="00C822BB"/>
    <w:rsid w:val="00C84C53"/>
    <w:rsid w:val="00C90AA9"/>
    <w:rsid w:val="00C947E2"/>
    <w:rsid w:val="00C95119"/>
    <w:rsid w:val="00CA03BC"/>
    <w:rsid w:val="00CA3B57"/>
    <w:rsid w:val="00CA6174"/>
    <w:rsid w:val="00CB3641"/>
    <w:rsid w:val="00CC24A7"/>
    <w:rsid w:val="00CE2D46"/>
    <w:rsid w:val="00CF0A97"/>
    <w:rsid w:val="00CF2124"/>
    <w:rsid w:val="00CF3A9C"/>
    <w:rsid w:val="00CF5CA3"/>
    <w:rsid w:val="00D0286F"/>
    <w:rsid w:val="00D06017"/>
    <w:rsid w:val="00D079BD"/>
    <w:rsid w:val="00D10C8E"/>
    <w:rsid w:val="00D119E3"/>
    <w:rsid w:val="00D11A31"/>
    <w:rsid w:val="00D15B42"/>
    <w:rsid w:val="00D20934"/>
    <w:rsid w:val="00D210C2"/>
    <w:rsid w:val="00D25CE2"/>
    <w:rsid w:val="00D26354"/>
    <w:rsid w:val="00D3175F"/>
    <w:rsid w:val="00D335EC"/>
    <w:rsid w:val="00D35637"/>
    <w:rsid w:val="00D36C27"/>
    <w:rsid w:val="00D4265E"/>
    <w:rsid w:val="00D47C21"/>
    <w:rsid w:val="00D54634"/>
    <w:rsid w:val="00D6259C"/>
    <w:rsid w:val="00D64CA3"/>
    <w:rsid w:val="00D70031"/>
    <w:rsid w:val="00D7053E"/>
    <w:rsid w:val="00D71796"/>
    <w:rsid w:val="00D826E9"/>
    <w:rsid w:val="00D82D2B"/>
    <w:rsid w:val="00D836DC"/>
    <w:rsid w:val="00D8635F"/>
    <w:rsid w:val="00D90989"/>
    <w:rsid w:val="00D92EC5"/>
    <w:rsid w:val="00DA1B79"/>
    <w:rsid w:val="00DA49EC"/>
    <w:rsid w:val="00DA7F95"/>
    <w:rsid w:val="00DB1F7D"/>
    <w:rsid w:val="00DB24C3"/>
    <w:rsid w:val="00DB3ACA"/>
    <w:rsid w:val="00DB44EB"/>
    <w:rsid w:val="00DB590C"/>
    <w:rsid w:val="00DB6601"/>
    <w:rsid w:val="00DB699F"/>
    <w:rsid w:val="00DB72EF"/>
    <w:rsid w:val="00DC51AD"/>
    <w:rsid w:val="00DC540B"/>
    <w:rsid w:val="00DD0EE5"/>
    <w:rsid w:val="00DD2D01"/>
    <w:rsid w:val="00DD63AB"/>
    <w:rsid w:val="00DD7288"/>
    <w:rsid w:val="00DE0021"/>
    <w:rsid w:val="00DE1D8B"/>
    <w:rsid w:val="00DE3417"/>
    <w:rsid w:val="00DE7AC7"/>
    <w:rsid w:val="00DF387C"/>
    <w:rsid w:val="00DF55C9"/>
    <w:rsid w:val="00E134E5"/>
    <w:rsid w:val="00E16D7D"/>
    <w:rsid w:val="00E17CBA"/>
    <w:rsid w:val="00E231A2"/>
    <w:rsid w:val="00E23D6C"/>
    <w:rsid w:val="00E25D90"/>
    <w:rsid w:val="00E2747E"/>
    <w:rsid w:val="00E27A2F"/>
    <w:rsid w:val="00E3724F"/>
    <w:rsid w:val="00E46C4D"/>
    <w:rsid w:val="00E47DC4"/>
    <w:rsid w:val="00E515C9"/>
    <w:rsid w:val="00E546DE"/>
    <w:rsid w:val="00E54D6F"/>
    <w:rsid w:val="00E55C1F"/>
    <w:rsid w:val="00E55E95"/>
    <w:rsid w:val="00E55F21"/>
    <w:rsid w:val="00E60C3E"/>
    <w:rsid w:val="00E6705B"/>
    <w:rsid w:val="00E72728"/>
    <w:rsid w:val="00E854C9"/>
    <w:rsid w:val="00E861A8"/>
    <w:rsid w:val="00E86376"/>
    <w:rsid w:val="00E863BB"/>
    <w:rsid w:val="00E87BAD"/>
    <w:rsid w:val="00E91A5F"/>
    <w:rsid w:val="00E92EBE"/>
    <w:rsid w:val="00E94004"/>
    <w:rsid w:val="00E96BCD"/>
    <w:rsid w:val="00E97999"/>
    <w:rsid w:val="00EA06CF"/>
    <w:rsid w:val="00EA6D6A"/>
    <w:rsid w:val="00EA6DA6"/>
    <w:rsid w:val="00EB20D9"/>
    <w:rsid w:val="00EB34EC"/>
    <w:rsid w:val="00EB5A86"/>
    <w:rsid w:val="00EC072C"/>
    <w:rsid w:val="00EC075D"/>
    <w:rsid w:val="00EC0B7D"/>
    <w:rsid w:val="00EC17F2"/>
    <w:rsid w:val="00ED0D81"/>
    <w:rsid w:val="00ED4E60"/>
    <w:rsid w:val="00EE186B"/>
    <w:rsid w:val="00EE5671"/>
    <w:rsid w:val="00EE6E77"/>
    <w:rsid w:val="00EE7638"/>
    <w:rsid w:val="00EF1E52"/>
    <w:rsid w:val="00EF62D2"/>
    <w:rsid w:val="00F030C0"/>
    <w:rsid w:val="00F116A3"/>
    <w:rsid w:val="00F13959"/>
    <w:rsid w:val="00F17CB1"/>
    <w:rsid w:val="00F2224A"/>
    <w:rsid w:val="00F22497"/>
    <w:rsid w:val="00F325F1"/>
    <w:rsid w:val="00F33143"/>
    <w:rsid w:val="00F3468A"/>
    <w:rsid w:val="00F3580B"/>
    <w:rsid w:val="00F35D9E"/>
    <w:rsid w:val="00F35EC6"/>
    <w:rsid w:val="00F36ADF"/>
    <w:rsid w:val="00F413BD"/>
    <w:rsid w:val="00F4193E"/>
    <w:rsid w:val="00F41ECF"/>
    <w:rsid w:val="00F425F6"/>
    <w:rsid w:val="00F429C3"/>
    <w:rsid w:val="00F434E1"/>
    <w:rsid w:val="00F44F93"/>
    <w:rsid w:val="00F513A8"/>
    <w:rsid w:val="00F5278C"/>
    <w:rsid w:val="00F54666"/>
    <w:rsid w:val="00F63191"/>
    <w:rsid w:val="00F63EC7"/>
    <w:rsid w:val="00F72F68"/>
    <w:rsid w:val="00F77055"/>
    <w:rsid w:val="00F77CCD"/>
    <w:rsid w:val="00F80237"/>
    <w:rsid w:val="00F805E1"/>
    <w:rsid w:val="00F80ACB"/>
    <w:rsid w:val="00F81F40"/>
    <w:rsid w:val="00F825FA"/>
    <w:rsid w:val="00F8427F"/>
    <w:rsid w:val="00F848B8"/>
    <w:rsid w:val="00F85C1F"/>
    <w:rsid w:val="00F85FED"/>
    <w:rsid w:val="00F94ABA"/>
    <w:rsid w:val="00F953B3"/>
    <w:rsid w:val="00F96A73"/>
    <w:rsid w:val="00F973D2"/>
    <w:rsid w:val="00FA0201"/>
    <w:rsid w:val="00FA2907"/>
    <w:rsid w:val="00FA49CC"/>
    <w:rsid w:val="00FA4B50"/>
    <w:rsid w:val="00FA5A94"/>
    <w:rsid w:val="00FA6152"/>
    <w:rsid w:val="00FB05A2"/>
    <w:rsid w:val="00FB2029"/>
    <w:rsid w:val="00FB4C45"/>
    <w:rsid w:val="00FB76EF"/>
    <w:rsid w:val="00FC1595"/>
    <w:rsid w:val="00FC4EAF"/>
    <w:rsid w:val="00FC752A"/>
    <w:rsid w:val="00FD12BD"/>
    <w:rsid w:val="00FE4170"/>
    <w:rsid w:val="00FE60CD"/>
    <w:rsid w:val="00FE65E5"/>
    <w:rsid w:val="00FE6AD2"/>
    <w:rsid w:val="00FF01CD"/>
    <w:rsid w:val="012B7570"/>
    <w:rsid w:val="0149221C"/>
    <w:rsid w:val="01D628BE"/>
    <w:rsid w:val="01F84061"/>
    <w:rsid w:val="022A5CAB"/>
    <w:rsid w:val="023648E8"/>
    <w:rsid w:val="025976E6"/>
    <w:rsid w:val="02621E4B"/>
    <w:rsid w:val="02DD1A2B"/>
    <w:rsid w:val="02F73142"/>
    <w:rsid w:val="031F4397"/>
    <w:rsid w:val="033202C6"/>
    <w:rsid w:val="03BF7EAF"/>
    <w:rsid w:val="03E71EB5"/>
    <w:rsid w:val="03EC63C9"/>
    <w:rsid w:val="04373BBB"/>
    <w:rsid w:val="04691FE2"/>
    <w:rsid w:val="04882DF5"/>
    <w:rsid w:val="04926F71"/>
    <w:rsid w:val="049D51F5"/>
    <w:rsid w:val="04D13BF8"/>
    <w:rsid w:val="0520591A"/>
    <w:rsid w:val="05413BF5"/>
    <w:rsid w:val="05A970ED"/>
    <w:rsid w:val="05CC3A73"/>
    <w:rsid w:val="05CD4905"/>
    <w:rsid w:val="062D6B94"/>
    <w:rsid w:val="066B1A46"/>
    <w:rsid w:val="06713AF5"/>
    <w:rsid w:val="067D6FEB"/>
    <w:rsid w:val="06AF1662"/>
    <w:rsid w:val="07C87B23"/>
    <w:rsid w:val="08117E38"/>
    <w:rsid w:val="083D4BA2"/>
    <w:rsid w:val="083D71F3"/>
    <w:rsid w:val="08527A69"/>
    <w:rsid w:val="08620F9D"/>
    <w:rsid w:val="086C52C1"/>
    <w:rsid w:val="088A13EC"/>
    <w:rsid w:val="08B872F7"/>
    <w:rsid w:val="08D3570C"/>
    <w:rsid w:val="091D0D8D"/>
    <w:rsid w:val="09505BF1"/>
    <w:rsid w:val="0A0111A4"/>
    <w:rsid w:val="0A3558B9"/>
    <w:rsid w:val="0A3E7253"/>
    <w:rsid w:val="0A4F0829"/>
    <w:rsid w:val="0A6C6BAB"/>
    <w:rsid w:val="0AB47515"/>
    <w:rsid w:val="0ABA2D7D"/>
    <w:rsid w:val="0AC87456"/>
    <w:rsid w:val="0ACB246E"/>
    <w:rsid w:val="0AF94848"/>
    <w:rsid w:val="0B19773F"/>
    <w:rsid w:val="0BE65908"/>
    <w:rsid w:val="0C0D066B"/>
    <w:rsid w:val="0C5412FA"/>
    <w:rsid w:val="0C943908"/>
    <w:rsid w:val="0CB27654"/>
    <w:rsid w:val="0CEE4E7F"/>
    <w:rsid w:val="0D091CC6"/>
    <w:rsid w:val="0D957D9F"/>
    <w:rsid w:val="0E7019A5"/>
    <w:rsid w:val="0E9F29FF"/>
    <w:rsid w:val="0F41180F"/>
    <w:rsid w:val="101553D2"/>
    <w:rsid w:val="102025AF"/>
    <w:rsid w:val="102B2027"/>
    <w:rsid w:val="105B76C9"/>
    <w:rsid w:val="10C06662"/>
    <w:rsid w:val="11032FA4"/>
    <w:rsid w:val="113D3FF4"/>
    <w:rsid w:val="114747B4"/>
    <w:rsid w:val="116E7F5C"/>
    <w:rsid w:val="11B93570"/>
    <w:rsid w:val="11E87028"/>
    <w:rsid w:val="11F9266E"/>
    <w:rsid w:val="126E3B4C"/>
    <w:rsid w:val="1285589D"/>
    <w:rsid w:val="128819B3"/>
    <w:rsid w:val="129B7938"/>
    <w:rsid w:val="13166FBF"/>
    <w:rsid w:val="14C21092"/>
    <w:rsid w:val="14F03CE9"/>
    <w:rsid w:val="154E12FB"/>
    <w:rsid w:val="161A0B74"/>
    <w:rsid w:val="16664030"/>
    <w:rsid w:val="166E35B7"/>
    <w:rsid w:val="16813826"/>
    <w:rsid w:val="16EB190A"/>
    <w:rsid w:val="1752224F"/>
    <w:rsid w:val="175226A2"/>
    <w:rsid w:val="17CD782C"/>
    <w:rsid w:val="191E6DD1"/>
    <w:rsid w:val="198304D5"/>
    <w:rsid w:val="198E120C"/>
    <w:rsid w:val="1A061521"/>
    <w:rsid w:val="1A2E39E6"/>
    <w:rsid w:val="1A3F7EA6"/>
    <w:rsid w:val="1A903B08"/>
    <w:rsid w:val="1AA0571E"/>
    <w:rsid w:val="1AD632F2"/>
    <w:rsid w:val="1B605470"/>
    <w:rsid w:val="1BA37527"/>
    <w:rsid w:val="1C611CA0"/>
    <w:rsid w:val="1CDA6C70"/>
    <w:rsid w:val="1D0A4F7C"/>
    <w:rsid w:val="1D7274E7"/>
    <w:rsid w:val="1E102FF7"/>
    <w:rsid w:val="1E653AD5"/>
    <w:rsid w:val="1EAF1273"/>
    <w:rsid w:val="1EE43B78"/>
    <w:rsid w:val="1F3230D1"/>
    <w:rsid w:val="1F9B4A28"/>
    <w:rsid w:val="1F9F5DD7"/>
    <w:rsid w:val="1FBC0EEE"/>
    <w:rsid w:val="20C31E08"/>
    <w:rsid w:val="20EB4EE4"/>
    <w:rsid w:val="214B42D7"/>
    <w:rsid w:val="21C5052E"/>
    <w:rsid w:val="21ED51A8"/>
    <w:rsid w:val="22522F93"/>
    <w:rsid w:val="22590C76"/>
    <w:rsid w:val="22A613B9"/>
    <w:rsid w:val="2307588F"/>
    <w:rsid w:val="231E5A23"/>
    <w:rsid w:val="23735D67"/>
    <w:rsid w:val="23BE0F5D"/>
    <w:rsid w:val="24084702"/>
    <w:rsid w:val="24093AE4"/>
    <w:rsid w:val="240D6C38"/>
    <w:rsid w:val="241D55E4"/>
    <w:rsid w:val="247B6525"/>
    <w:rsid w:val="24A146FA"/>
    <w:rsid w:val="252217F3"/>
    <w:rsid w:val="25375E8B"/>
    <w:rsid w:val="255324BE"/>
    <w:rsid w:val="25F805FE"/>
    <w:rsid w:val="25F96D37"/>
    <w:rsid w:val="260C1D76"/>
    <w:rsid w:val="26136745"/>
    <w:rsid w:val="26167EA5"/>
    <w:rsid w:val="264043D4"/>
    <w:rsid w:val="26F17D84"/>
    <w:rsid w:val="270C3C96"/>
    <w:rsid w:val="2761584E"/>
    <w:rsid w:val="28372B7F"/>
    <w:rsid w:val="286E1AB4"/>
    <w:rsid w:val="287E3DCA"/>
    <w:rsid w:val="28837A86"/>
    <w:rsid w:val="288F7202"/>
    <w:rsid w:val="28BC3D0D"/>
    <w:rsid w:val="28ED7FE0"/>
    <w:rsid w:val="2902303F"/>
    <w:rsid w:val="290643C5"/>
    <w:rsid w:val="290D2282"/>
    <w:rsid w:val="293412EA"/>
    <w:rsid w:val="2936586D"/>
    <w:rsid w:val="29627AFA"/>
    <w:rsid w:val="298473AF"/>
    <w:rsid w:val="29DB3FAF"/>
    <w:rsid w:val="29FD7F0B"/>
    <w:rsid w:val="2A2A34CE"/>
    <w:rsid w:val="2A580C0A"/>
    <w:rsid w:val="2A837C3F"/>
    <w:rsid w:val="2B2B50B1"/>
    <w:rsid w:val="2B747D19"/>
    <w:rsid w:val="2BC33B18"/>
    <w:rsid w:val="2C071672"/>
    <w:rsid w:val="2C6418A9"/>
    <w:rsid w:val="2D0617C7"/>
    <w:rsid w:val="2D2108F4"/>
    <w:rsid w:val="2D547778"/>
    <w:rsid w:val="2DA478F8"/>
    <w:rsid w:val="2DA63B25"/>
    <w:rsid w:val="2DA7573C"/>
    <w:rsid w:val="2DF10D19"/>
    <w:rsid w:val="2E363D32"/>
    <w:rsid w:val="2E7F036E"/>
    <w:rsid w:val="2E912FA4"/>
    <w:rsid w:val="2EBE1F1C"/>
    <w:rsid w:val="2ED31DB0"/>
    <w:rsid w:val="2EE84955"/>
    <w:rsid w:val="2EFA6C98"/>
    <w:rsid w:val="2F5E3696"/>
    <w:rsid w:val="2F9145F6"/>
    <w:rsid w:val="2FF83E16"/>
    <w:rsid w:val="303F591A"/>
    <w:rsid w:val="304D5047"/>
    <w:rsid w:val="304E57A5"/>
    <w:rsid w:val="30922073"/>
    <w:rsid w:val="30AF35A2"/>
    <w:rsid w:val="30DB6CFA"/>
    <w:rsid w:val="30E31B52"/>
    <w:rsid w:val="31327653"/>
    <w:rsid w:val="313407A4"/>
    <w:rsid w:val="31434FCB"/>
    <w:rsid w:val="316F1CB8"/>
    <w:rsid w:val="3179506C"/>
    <w:rsid w:val="318808B7"/>
    <w:rsid w:val="31AA504A"/>
    <w:rsid w:val="31B33215"/>
    <w:rsid w:val="31CD2AE7"/>
    <w:rsid w:val="31E87778"/>
    <w:rsid w:val="323E39E4"/>
    <w:rsid w:val="3267423B"/>
    <w:rsid w:val="326F1DF0"/>
    <w:rsid w:val="329F4CB6"/>
    <w:rsid w:val="32F472FB"/>
    <w:rsid w:val="338D4EFE"/>
    <w:rsid w:val="33AF5A2C"/>
    <w:rsid w:val="34526950"/>
    <w:rsid w:val="345A369A"/>
    <w:rsid w:val="346F5D3E"/>
    <w:rsid w:val="34B454F3"/>
    <w:rsid w:val="34EE4F68"/>
    <w:rsid w:val="3506795A"/>
    <w:rsid w:val="35734128"/>
    <w:rsid w:val="357E2A76"/>
    <w:rsid w:val="35926521"/>
    <w:rsid w:val="35A44033"/>
    <w:rsid w:val="35B56F3E"/>
    <w:rsid w:val="35ED7915"/>
    <w:rsid w:val="36245498"/>
    <w:rsid w:val="367C4ADB"/>
    <w:rsid w:val="3685262C"/>
    <w:rsid w:val="36941E25"/>
    <w:rsid w:val="36B502EF"/>
    <w:rsid w:val="36DF0E2E"/>
    <w:rsid w:val="36EC5F14"/>
    <w:rsid w:val="370F7119"/>
    <w:rsid w:val="37463757"/>
    <w:rsid w:val="375861BC"/>
    <w:rsid w:val="38AA7DFB"/>
    <w:rsid w:val="38B863AC"/>
    <w:rsid w:val="38D73095"/>
    <w:rsid w:val="38E74239"/>
    <w:rsid w:val="38E84955"/>
    <w:rsid w:val="39111C85"/>
    <w:rsid w:val="39276F80"/>
    <w:rsid w:val="393618B9"/>
    <w:rsid w:val="39442A36"/>
    <w:rsid w:val="39775BA7"/>
    <w:rsid w:val="39B8201D"/>
    <w:rsid w:val="39D35D49"/>
    <w:rsid w:val="3A1B49FE"/>
    <w:rsid w:val="3A623D1C"/>
    <w:rsid w:val="3A8134D4"/>
    <w:rsid w:val="3AB144E2"/>
    <w:rsid w:val="3AE31657"/>
    <w:rsid w:val="3B0357CB"/>
    <w:rsid w:val="3B6F20C7"/>
    <w:rsid w:val="3BC234CE"/>
    <w:rsid w:val="3C3E1273"/>
    <w:rsid w:val="3C6D60F2"/>
    <w:rsid w:val="3D2832C7"/>
    <w:rsid w:val="3E0A5BF8"/>
    <w:rsid w:val="3EBB3FAC"/>
    <w:rsid w:val="3EF70D04"/>
    <w:rsid w:val="3F0D0AB6"/>
    <w:rsid w:val="3FB3659A"/>
    <w:rsid w:val="3FB4270A"/>
    <w:rsid w:val="402946D6"/>
    <w:rsid w:val="407953C0"/>
    <w:rsid w:val="409A0D2D"/>
    <w:rsid w:val="40DA5B06"/>
    <w:rsid w:val="41850CE8"/>
    <w:rsid w:val="41BA24C8"/>
    <w:rsid w:val="41F0672D"/>
    <w:rsid w:val="41F07D9D"/>
    <w:rsid w:val="421E2595"/>
    <w:rsid w:val="423F5DCB"/>
    <w:rsid w:val="42890E3B"/>
    <w:rsid w:val="42944D68"/>
    <w:rsid w:val="42CC6AED"/>
    <w:rsid w:val="42FA4936"/>
    <w:rsid w:val="43001A82"/>
    <w:rsid w:val="43591A6A"/>
    <w:rsid w:val="436824A7"/>
    <w:rsid w:val="43804E9A"/>
    <w:rsid w:val="43853E75"/>
    <w:rsid w:val="43B1412A"/>
    <w:rsid w:val="43DD1A35"/>
    <w:rsid w:val="43DF0F2C"/>
    <w:rsid w:val="43F959F3"/>
    <w:rsid w:val="44024CCD"/>
    <w:rsid w:val="440A170A"/>
    <w:rsid w:val="441540E8"/>
    <w:rsid w:val="44280243"/>
    <w:rsid w:val="44355C57"/>
    <w:rsid w:val="44A84EE5"/>
    <w:rsid w:val="450F41DA"/>
    <w:rsid w:val="4545387C"/>
    <w:rsid w:val="457A6924"/>
    <w:rsid w:val="45870623"/>
    <w:rsid w:val="461A0599"/>
    <w:rsid w:val="46311313"/>
    <w:rsid w:val="468037DA"/>
    <w:rsid w:val="46DA11AA"/>
    <w:rsid w:val="47A11E2D"/>
    <w:rsid w:val="47EF688B"/>
    <w:rsid w:val="48223734"/>
    <w:rsid w:val="486F3408"/>
    <w:rsid w:val="487E57FA"/>
    <w:rsid w:val="48B1474A"/>
    <w:rsid w:val="48C1559B"/>
    <w:rsid w:val="48DD1A00"/>
    <w:rsid w:val="49241DA8"/>
    <w:rsid w:val="49355ABB"/>
    <w:rsid w:val="49404842"/>
    <w:rsid w:val="494C5E35"/>
    <w:rsid w:val="495431F7"/>
    <w:rsid w:val="496A7671"/>
    <w:rsid w:val="49AA4629"/>
    <w:rsid w:val="4A3844DB"/>
    <w:rsid w:val="4A764DE7"/>
    <w:rsid w:val="4B370CCE"/>
    <w:rsid w:val="4B6C40B4"/>
    <w:rsid w:val="4B9F35D1"/>
    <w:rsid w:val="4BA05E26"/>
    <w:rsid w:val="4C1479EA"/>
    <w:rsid w:val="4CD307A9"/>
    <w:rsid w:val="4CEB7131"/>
    <w:rsid w:val="4CEE2671"/>
    <w:rsid w:val="4D0157A1"/>
    <w:rsid w:val="4D744500"/>
    <w:rsid w:val="4D9206BD"/>
    <w:rsid w:val="4DCF345F"/>
    <w:rsid w:val="4DEF7282"/>
    <w:rsid w:val="4E010CF4"/>
    <w:rsid w:val="4E613EE8"/>
    <w:rsid w:val="4E670734"/>
    <w:rsid w:val="4E720846"/>
    <w:rsid w:val="4EA93A30"/>
    <w:rsid w:val="4F532891"/>
    <w:rsid w:val="4FC24FEB"/>
    <w:rsid w:val="4FD317B8"/>
    <w:rsid w:val="509D071B"/>
    <w:rsid w:val="50A72838"/>
    <w:rsid w:val="50A819F4"/>
    <w:rsid w:val="50D55394"/>
    <w:rsid w:val="512F2A1E"/>
    <w:rsid w:val="514566E6"/>
    <w:rsid w:val="51B83400"/>
    <w:rsid w:val="51EE6E1A"/>
    <w:rsid w:val="521F0022"/>
    <w:rsid w:val="5225107F"/>
    <w:rsid w:val="522D1654"/>
    <w:rsid w:val="524E3410"/>
    <w:rsid w:val="52616342"/>
    <w:rsid w:val="529C47FE"/>
    <w:rsid w:val="52FB33D0"/>
    <w:rsid w:val="52FF6717"/>
    <w:rsid w:val="5304090E"/>
    <w:rsid w:val="530B7690"/>
    <w:rsid w:val="53152845"/>
    <w:rsid w:val="534A0D02"/>
    <w:rsid w:val="53E12688"/>
    <w:rsid w:val="54141DDB"/>
    <w:rsid w:val="5420791D"/>
    <w:rsid w:val="54696EB7"/>
    <w:rsid w:val="54D77655"/>
    <w:rsid w:val="54E23497"/>
    <w:rsid w:val="554B37F5"/>
    <w:rsid w:val="555637DD"/>
    <w:rsid w:val="5685401F"/>
    <w:rsid w:val="56911375"/>
    <w:rsid w:val="57006186"/>
    <w:rsid w:val="57105269"/>
    <w:rsid w:val="58094D5B"/>
    <w:rsid w:val="583B32E7"/>
    <w:rsid w:val="586C7B75"/>
    <w:rsid w:val="58935F89"/>
    <w:rsid w:val="58A244ED"/>
    <w:rsid w:val="58F30EF8"/>
    <w:rsid w:val="59075A64"/>
    <w:rsid w:val="59A60002"/>
    <w:rsid w:val="59F6057D"/>
    <w:rsid w:val="59F84B06"/>
    <w:rsid w:val="5A2942FE"/>
    <w:rsid w:val="5A2F7A19"/>
    <w:rsid w:val="5A62458B"/>
    <w:rsid w:val="5A736C1B"/>
    <w:rsid w:val="5A966DFB"/>
    <w:rsid w:val="5B307F74"/>
    <w:rsid w:val="5B7205F0"/>
    <w:rsid w:val="5B8A30C5"/>
    <w:rsid w:val="5BCB3B10"/>
    <w:rsid w:val="5BCF4B30"/>
    <w:rsid w:val="5C196CA7"/>
    <w:rsid w:val="5C270A44"/>
    <w:rsid w:val="5C2B7D47"/>
    <w:rsid w:val="5C9B7FCE"/>
    <w:rsid w:val="5D273B19"/>
    <w:rsid w:val="5D5A7F80"/>
    <w:rsid w:val="5D6A5A73"/>
    <w:rsid w:val="5DDA4288"/>
    <w:rsid w:val="5E07364D"/>
    <w:rsid w:val="5E081181"/>
    <w:rsid w:val="5E0C4FE8"/>
    <w:rsid w:val="5E523ED6"/>
    <w:rsid w:val="5E866598"/>
    <w:rsid w:val="5EA20CD3"/>
    <w:rsid w:val="5EE27322"/>
    <w:rsid w:val="5F2F749D"/>
    <w:rsid w:val="5F515C69"/>
    <w:rsid w:val="5F906F9E"/>
    <w:rsid w:val="5F932594"/>
    <w:rsid w:val="5F984AB9"/>
    <w:rsid w:val="5FA6034F"/>
    <w:rsid w:val="5FB16DC8"/>
    <w:rsid w:val="602A71D2"/>
    <w:rsid w:val="60624155"/>
    <w:rsid w:val="607C7089"/>
    <w:rsid w:val="60AD60E6"/>
    <w:rsid w:val="61161AD2"/>
    <w:rsid w:val="61C750F9"/>
    <w:rsid w:val="61CA6F28"/>
    <w:rsid w:val="627B3D15"/>
    <w:rsid w:val="63BC6393"/>
    <w:rsid w:val="63C35F73"/>
    <w:rsid w:val="63FE6DD1"/>
    <w:rsid w:val="640658F6"/>
    <w:rsid w:val="642045A7"/>
    <w:rsid w:val="64221C92"/>
    <w:rsid w:val="646A5152"/>
    <w:rsid w:val="646C1BB9"/>
    <w:rsid w:val="646D4D6D"/>
    <w:rsid w:val="647926B6"/>
    <w:rsid w:val="64886CFB"/>
    <w:rsid w:val="64932854"/>
    <w:rsid w:val="64E124C8"/>
    <w:rsid w:val="655472F6"/>
    <w:rsid w:val="655B5C02"/>
    <w:rsid w:val="658630FD"/>
    <w:rsid w:val="662C5D68"/>
    <w:rsid w:val="663959B0"/>
    <w:rsid w:val="6642532C"/>
    <w:rsid w:val="667D2DF0"/>
    <w:rsid w:val="668A3043"/>
    <w:rsid w:val="66F23281"/>
    <w:rsid w:val="670573DE"/>
    <w:rsid w:val="67284B26"/>
    <w:rsid w:val="673B1CC5"/>
    <w:rsid w:val="67473A52"/>
    <w:rsid w:val="67B73D62"/>
    <w:rsid w:val="67BD1920"/>
    <w:rsid w:val="67D62E0B"/>
    <w:rsid w:val="68D4417F"/>
    <w:rsid w:val="69242690"/>
    <w:rsid w:val="69BC40E6"/>
    <w:rsid w:val="6A2B4D5A"/>
    <w:rsid w:val="6AF13F41"/>
    <w:rsid w:val="6AFC7260"/>
    <w:rsid w:val="6B040EEA"/>
    <w:rsid w:val="6B1B4D1A"/>
    <w:rsid w:val="6B771CD7"/>
    <w:rsid w:val="6BE35429"/>
    <w:rsid w:val="6C312A1C"/>
    <w:rsid w:val="6C363C00"/>
    <w:rsid w:val="6C4607BE"/>
    <w:rsid w:val="6C637124"/>
    <w:rsid w:val="6C8F5A48"/>
    <w:rsid w:val="6CAF6B49"/>
    <w:rsid w:val="6CD208DB"/>
    <w:rsid w:val="6CF107A8"/>
    <w:rsid w:val="6CF40B6C"/>
    <w:rsid w:val="6D4A4A10"/>
    <w:rsid w:val="6D5019F4"/>
    <w:rsid w:val="6D580FBD"/>
    <w:rsid w:val="6DB419D3"/>
    <w:rsid w:val="6E183E89"/>
    <w:rsid w:val="6E8640B1"/>
    <w:rsid w:val="6EAF3F4C"/>
    <w:rsid w:val="6F046AC3"/>
    <w:rsid w:val="6F1928EC"/>
    <w:rsid w:val="6F9E22E3"/>
    <w:rsid w:val="6FAE11E6"/>
    <w:rsid w:val="6FCA5CC6"/>
    <w:rsid w:val="70366B6B"/>
    <w:rsid w:val="704716DB"/>
    <w:rsid w:val="70A70DEB"/>
    <w:rsid w:val="710E11EA"/>
    <w:rsid w:val="71AC1524"/>
    <w:rsid w:val="71E25B1E"/>
    <w:rsid w:val="726F2B16"/>
    <w:rsid w:val="72E72A33"/>
    <w:rsid w:val="72FC646A"/>
    <w:rsid w:val="732D1D0C"/>
    <w:rsid w:val="733F6699"/>
    <w:rsid w:val="73AF1F0B"/>
    <w:rsid w:val="73B40E35"/>
    <w:rsid w:val="74A71708"/>
    <w:rsid w:val="74B44E65"/>
    <w:rsid w:val="74B7474A"/>
    <w:rsid w:val="74C27582"/>
    <w:rsid w:val="7513555D"/>
    <w:rsid w:val="754864CA"/>
    <w:rsid w:val="757B7DDF"/>
    <w:rsid w:val="75924BCC"/>
    <w:rsid w:val="759251A6"/>
    <w:rsid w:val="759E4C77"/>
    <w:rsid w:val="75B27931"/>
    <w:rsid w:val="762D6C86"/>
    <w:rsid w:val="763D48E3"/>
    <w:rsid w:val="764079A6"/>
    <w:rsid w:val="765D3A06"/>
    <w:rsid w:val="76665B7E"/>
    <w:rsid w:val="768216BE"/>
    <w:rsid w:val="76852EE1"/>
    <w:rsid w:val="76C12B9A"/>
    <w:rsid w:val="76D762FD"/>
    <w:rsid w:val="76F91E47"/>
    <w:rsid w:val="76FF354D"/>
    <w:rsid w:val="775546DD"/>
    <w:rsid w:val="77597A8F"/>
    <w:rsid w:val="77933347"/>
    <w:rsid w:val="77C00D57"/>
    <w:rsid w:val="780659D7"/>
    <w:rsid w:val="783148C7"/>
    <w:rsid w:val="7968094F"/>
    <w:rsid w:val="79CF622E"/>
    <w:rsid w:val="7A13262E"/>
    <w:rsid w:val="7A1E19C4"/>
    <w:rsid w:val="7A23146A"/>
    <w:rsid w:val="7A260F80"/>
    <w:rsid w:val="7A37019D"/>
    <w:rsid w:val="7A6239D1"/>
    <w:rsid w:val="7ACE7C6B"/>
    <w:rsid w:val="7B1D6848"/>
    <w:rsid w:val="7B3D3D90"/>
    <w:rsid w:val="7B486FC0"/>
    <w:rsid w:val="7B775971"/>
    <w:rsid w:val="7BA5047E"/>
    <w:rsid w:val="7BB120FE"/>
    <w:rsid w:val="7BDA0143"/>
    <w:rsid w:val="7C330D65"/>
    <w:rsid w:val="7C4D1E27"/>
    <w:rsid w:val="7C4F36A4"/>
    <w:rsid w:val="7C515919"/>
    <w:rsid w:val="7C6D436F"/>
    <w:rsid w:val="7C9F43D8"/>
    <w:rsid w:val="7CE440C8"/>
    <w:rsid w:val="7CE704CD"/>
    <w:rsid w:val="7D2E733B"/>
    <w:rsid w:val="7D306D10"/>
    <w:rsid w:val="7D5E4B86"/>
    <w:rsid w:val="7D5E5928"/>
    <w:rsid w:val="7D6E37A4"/>
    <w:rsid w:val="7D727EDA"/>
    <w:rsid w:val="7DA56719"/>
    <w:rsid w:val="7E7471DD"/>
    <w:rsid w:val="7E77489F"/>
    <w:rsid w:val="7E820C26"/>
    <w:rsid w:val="7E8B4F25"/>
    <w:rsid w:val="7EE44E8A"/>
    <w:rsid w:val="7F0F034E"/>
    <w:rsid w:val="7F8C61C7"/>
    <w:rsid w:val="7FD1267E"/>
    <w:rsid w:val="7FE3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qFormat/>
    <w:uiPriority w:val="0"/>
    <w:rPr>
      <w:sz w:val="44"/>
    </w:rPr>
  </w:style>
  <w:style w:type="paragraph" w:styleId="6">
    <w:name w:val="Body Text Indent"/>
    <w:basedOn w:val="1"/>
    <w:link w:val="35"/>
    <w:qFormat/>
    <w:uiPriority w:val="0"/>
    <w:pPr>
      <w:spacing w:after="120"/>
      <w:ind w:left="420" w:leftChars="200"/>
    </w:pPr>
  </w:style>
  <w:style w:type="paragraph" w:styleId="7">
    <w:name w:val="Date"/>
    <w:basedOn w:val="1"/>
    <w:next w:val="1"/>
    <w:qFormat/>
    <w:uiPriority w:val="0"/>
    <w:pPr>
      <w:ind w:left="100" w:leftChars="2500"/>
    </w:pPr>
  </w:style>
  <w:style w:type="paragraph" w:styleId="8">
    <w:name w:val="Balloon Text"/>
    <w:basedOn w:val="1"/>
    <w:link w:val="38"/>
    <w:qFormat/>
    <w:uiPriority w:val="0"/>
    <w:rPr>
      <w:sz w:val="18"/>
      <w:szCs w:val="18"/>
    </w:rPr>
  </w:style>
  <w:style w:type="paragraph" w:styleId="9">
    <w:name w:val="footer"/>
    <w:basedOn w:val="1"/>
    <w:link w:val="36"/>
    <w:qFormat/>
    <w:uiPriority w:val="0"/>
    <w:pPr>
      <w:tabs>
        <w:tab w:val="center" w:pos="4153"/>
        <w:tab w:val="right" w:pos="8306"/>
      </w:tabs>
      <w:snapToGrid w:val="0"/>
      <w:ind w:right="360" w:firstLine="360"/>
      <w:jc w:val="left"/>
    </w:pPr>
    <w:rPr>
      <w:sz w:val="18"/>
      <w:szCs w:val="18"/>
    </w:rPr>
  </w:style>
  <w:style w:type="paragraph" w:styleId="10">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rPr>
      <w:rFonts w:ascii="Calibri" w:hAnsi="Calibri" w:cs="Calibri"/>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rPr>
      <w:rFonts w:ascii="Times New Roman" w:hAnsi="Times New Roman" w:eastAsia="宋体" w:cs="Times New Roman"/>
    </w:rPr>
  </w:style>
  <w:style w:type="character" w:styleId="16">
    <w:name w:val="FollowedHyperlink"/>
    <w:qFormat/>
    <w:uiPriority w:val="0"/>
    <w:rPr>
      <w:rFonts w:ascii="Times New Roman" w:hAnsi="Times New Roman" w:eastAsia="宋体" w:cs="Times New Roman"/>
      <w:color w:val="800080"/>
      <w:u w:val="single"/>
    </w:rPr>
  </w:style>
  <w:style w:type="character" w:styleId="17">
    <w:name w:val="Hyperlink"/>
    <w:qFormat/>
    <w:uiPriority w:val="0"/>
    <w:rPr>
      <w:rFonts w:ascii="Times New Roman" w:hAnsi="Times New Roman" w:eastAsia="宋体" w:cs="Times New Roman"/>
      <w:color w:val="0000FF"/>
      <w:u w:val="single"/>
    </w:rPr>
  </w:style>
  <w:style w:type="paragraph" w:customStyle="1" w:styleId="18">
    <w:name w:val="Char1 Char Char Char Char Char Char Char Char Char Char Char Char"/>
    <w:basedOn w:val="1"/>
    <w:qFormat/>
    <w:uiPriority w:val="0"/>
    <w:rPr>
      <w:szCs w:val="20"/>
    </w:rPr>
  </w:style>
  <w:style w:type="paragraph" w:customStyle="1" w:styleId="19">
    <w:name w:val="列出段落1"/>
    <w:basedOn w:val="1"/>
    <w:qFormat/>
    <w:uiPriority w:val="0"/>
    <w:pPr>
      <w:ind w:firstLine="420" w:firstLineChars="200"/>
    </w:pPr>
    <w:rPr>
      <w:rFonts w:ascii="Calibri" w:hAnsi="Calibri"/>
      <w:szCs w:val="22"/>
    </w:rPr>
  </w:style>
  <w:style w:type="paragraph" w:customStyle="1" w:styleId="20">
    <w:name w:val="列出段落11"/>
    <w:basedOn w:val="1"/>
    <w:qFormat/>
    <w:uiPriority w:val="34"/>
    <w:pPr>
      <w:ind w:firstLine="420" w:firstLineChars="200"/>
    </w:pPr>
    <w:rPr>
      <w:rFonts w:ascii="Calibri" w:hAnsi="Calibri" w:cs="Calibri"/>
      <w:szCs w:val="21"/>
    </w:rPr>
  </w:style>
  <w:style w:type="paragraph" w:customStyle="1" w:styleId="21">
    <w:name w:val="标题 2级"/>
    <w:basedOn w:val="22"/>
    <w:link w:val="34"/>
    <w:qFormat/>
    <w:uiPriority w:val="0"/>
    <w:rPr>
      <w:rFonts w:eastAsia="黑体"/>
    </w:rPr>
  </w:style>
  <w:style w:type="paragraph" w:customStyle="1" w:styleId="22">
    <w:name w:val="标题  2级"/>
    <w:basedOn w:val="1"/>
    <w:link w:val="29"/>
    <w:qFormat/>
    <w:uiPriority w:val="0"/>
    <w:pPr>
      <w:spacing w:line="520" w:lineRule="exact"/>
      <w:outlineLvl w:val="1"/>
    </w:pPr>
    <w:rPr>
      <w:b/>
      <w:sz w:val="28"/>
      <w:szCs w:val="28"/>
    </w:rPr>
  </w:style>
  <w:style w:type="paragraph" w:customStyle="1" w:styleId="23">
    <w:name w:val="标题3级"/>
    <w:basedOn w:val="1"/>
    <w:link w:val="30"/>
    <w:qFormat/>
    <w:uiPriority w:val="0"/>
    <w:pPr>
      <w:spacing w:line="520" w:lineRule="exact"/>
    </w:pPr>
    <w:rPr>
      <w:rFonts w:eastAsia="黑体"/>
      <w:b/>
      <w:sz w:val="24"/>
    </w:rPr>
  </w:style>
  <w:style w:type="paragraph" w:customStyle="1" w:styleId="24">
    <w:name w:val="表头"/>
    <w:basedOn w:val="25"/>
    <w:link w:val="31"/>
    <w:qFormat/>
    <w:uiPriority w:val="0"/>
  </w:style>
  <w:style w:type="paragraph" w:customStyle="1" w:styleId="25">
    <w:name w:val="表头样式"/>
    <w:basedOn w:val="1"/>
    <w:link w:val="32"/>
    <w:qFormat/>
    <w:uiPriority w:val="0"/>
    <w:pPr>
      <w:spacing w:line="520" w:lineRule="exact"/>
      <w:jc w:val="center"/>
    </w:pPr>
    <w:rPr>
      <w:rFonts w:eastAsia="黑体"/>
      <w:sz w:val="24"/>
    </w:rPr>
  </w:style>
  <w:style w:type="paragraph" w:customStyle="1" w:styleId="26">
    <w:name w:val="标题 1级"/>
    <w:basedOn w:val="1"/>
    <w:link w:val="33"/>
    <w:qFormat/>
    <w:uiPriority w:val="0"/>
    <w:pPr>
      <w:keepNext/>
      <w:keepLines/>
      <w:adjustRightInd w:val="0"/>
      <w:spacing w:line="720" w:lineRule="exact"/>
      <w:textAlignment w:val="baseline"/>
      <w:outlineLvl w:val="0"/>
    </w:pPr>
    <w:rPr>
      <w:rFonts w:eastAsia="黑体"/>
      <w:b/>
      <w:bCs/>
      <w:kern w:val="44"/>
      <w:sz w:val="32"/>
      <w:szCs w:val="32"/>
    </w:rPr>
  </w:style>
  <w:style w:type="character" w:customStyle="1" w:styleId="27">
    <w:name w:val="font01"/>
    <w:qFormat/>
    <w:uiPriority w:val="0"/>
    <w:rPr>
      <w:rFonts w:hint="default" w:ascii="Times New Roman" w:hAnsi="Times New Roman" w:eastAsia="宋体" w:cs="Times New Roman"/>
      <w:color w:val="000000"/>
      <w:sz w:val="20"/>
      <w:szCs w:val="20"/>
      <w:u w:val="none"/>
    </w:rPr>
  </w:style>
  <w:style w:type="character" w:customStyle="1" w:styleId="28">
    <w:name w:val="font31"/>
    <w:qFormat/>
    <w:uiPriority w:val="0"/>
    <w:rPr>
      <w:rFonts w:hint="eastAsia" w:ascii="宋体" w:hAnsi="宋体" w:eastAsia="宋体" w:cs="宋体"/>
      <w:color w:val="000000"/>
      <w:sz w:val="20"/>
      <w:szCs w:val="20"/>
      <w:u w:val="none"/>
    </w:rPr>
  </w:style>
  <w:style w:type="character" w:customStyle="1" w:styleId="29">
    <w:name w:val="标题  2级 Char"/>
    <w:link w:val="22"/>
    <w:qFormat/>
    <w:uiPriority w:val="0"/>
    <w:rPr>
      <w:rFonts w:ascii="Times New Roman" w:hAnsi="Times New Roman" w:eastAsia="宋体" w:cs="Times New Roman"/>
      <w:b/>
      <w:kern w:val="2"/>
      <w:sz w:val="28"/>
      <w:szCs w:val="28"/>
    </w:rPr>
  </w:style>
  <w:style w:type="character" w:customStyle="1" w:styleId="30">
    <w:name w:val="标题3级 Char"/>
    <w:link w:val="23"/>
    <w:qFormat/>
    <w:uiPriority w:val="0"/>
    <w:rPr>
      <w:rFonts w:ascii="Times New Roman" w:hAnsi="Times New Roman" w:eastAsia="黑体" w:cs="Times New Roman"/>
      <w:b/>
      <w:kern w:val="2"/>
      <w:sz w:val="24"/>
      <w:szCs w:val="24"/>
    </w:rPr>
  </w:style>
  <w:style w:type="character" w:customStyle="1" w:styleId="31">
    <w:name w:val="表头 Char"/>
    <w:basedOn w:val="32"/>
    <w:link w:val="24"/>
    <w:qFormat/>
    <w:uiPriority w:val="0"/>
    <w:rPr>
      <w:rFonts w:ascii="Times New Roman" w:hAnsi="Times New Roman" w:eastAsia="黑体" w:cs="Times New Roman"/>
      <w:kern w:val="2"/>
      <w:sz w:val="24"/>
      <w:szCs w:val="24"/>
    </w:rPr>
  </w:style>
  <w:style w:type="character" w:customStyle="1" w:styleId="32">
    <w:name w:val="表头样式 Char"/>
    <w:link w:val="25"/>
    <w:qFormat/>
    <w:uiPriority w:val="0"/>
    <w:rPr>
      <w:rFonts w:ascii="Times New Roman" w:hAnsi="Times New Roman" w:eastAsia="黑体" w:cs="Times New Roman"/>
      <w:kern w:val="2"/>
      <w:sz w:val="24"/>
      <w:szCs w:val="24"/>
    </w:rPr>
  </w:style>
  <w:style w:type="character" w:customStyle="1" w:styleId="33">
    <w:name w:val="标题 1级 Char"/>
    <w:link w:val="26"/>
    <w:qFormat/>
    <w:uiPriority w:val="0"/>
    <w:rPr>
      <w:rFonts w:ascii="Times New Roman" w:hAnsi="Times New Roman" w:eastAsia="黑体" w:cs="宋体"/>
      <w:b/>
      <w:bCs/>
      <w:kern w:val="44"/>
      <w:sz w:val="32"/>
      <w:szCs w:val="32"/>
    </w:rPr>
  </w:style>
  <w:style w:type="character" w:customStyle="1" w:styleId="34">
    <w:name w:val="标题 2级 Char"/>
    <w:link w:val="21"/>
    <w:qFormat/>
    <w:uiPriority w:val="0"/>
    <w:rPr>
      <w:rFonts w:ascii="Times New Roman" w:hAnsi="Times New Roman" w:eastAsia="黑体" w:cs="Times New Roman"/>
      <w:b/>
      <w:kern w:val="2"/>
      <w:sz w:val="28"/>
      <w:szCs w:val="28"/>
    </w:rPr>
  </w:style>
  <w:style w:type="character" w:customStyle="1" w:styleId="35">
    <w:name w:val="正文文本缩进 Char"/>
    <w:basedOn w:val="14"/>
    <w:link w:val="6"/>
    <w:qFormat/>
    <w:uiPriority w:val="0"/>
    <w:rPr>
      <w:rFonts w:ascii="Times New Roman" w:hAnsi="Times New Roman" w:eastAsia="宋体" w:cs="Times New Roman"/>
      <w:kern w:val="2"/>
      <w:sz w:val="21"/>
      <w:szCs w:val="24"/>
    </w:rPr>
  </w:style>
  <w:style w:type="character" w:customStyle="1" w:styleId="36">
    <w:name w:val="页脚 Char"/>
    <w:basedOn w:val="14"/>
    <w:link w:val="9"/>
    <w:qFormat/>
    <w:uiPriority w:val="0"/>
    <w:rPr>
      <w:rFonts w:ascii="Times New Roman" w:hAnsi="Times New Roman" w:eastAsia="宋体" w:cs="Times New Roman"/>
      <w:kern w:val="2"/>
      <w:sz w:val="18"/>
      <w:szCs w:val="18"/>
    </w:rPr>
  </w:style>
  <w:style w:type="character" w:customStyle="1" w:styleId="37">
    <w:name w:val="页眉 Char"/>
    <w:basedOn w:val="14"/>
    <w:link w:val="10"/>
    <w:qFormat/>
    <w:uiPriority w:val="0"/>
    <w:rPr>
      <w:rFonts w:ascii="Times New Roman" w:hAnsi="Times New Roman" w:eastAsia="宋体" w:cs="Times New Roman"/>
      <w:kern w:val="2"/>
      <w:sz w:val="18"/>
      <w:szCs w:val="18"/>
    </w:rPr>
  </w:style>
  <w:style w:type="character" w:customStyle="1" w:styleId="38">
    <w:name w:val="批注框文本 Char"/>
    <w:basedOn w:val="14"/>
    <w:link w:val="8"/>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3525</Words>
  <Characters>3579</Characters>
  <Lines>28</Lines>
  <Paragraphs>7</Paragraphs>
  <TotalTime>31</TotalTime>
  <ScaleCrop>false</ScaleCrop>
  <LinksUpToDate>false</LinksUpToDate>
  <CharactersWithSpaces>3599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2020-08-12T00:43:00Z</dcterms:created>
  <dc:creator>leo❤️</dc:creator>
  <cp:lastModifiedBy>leo❤️</cp:lastModifiedBy>
  <cp:lastPrinted>2022-10-17T07:29:00Z</cp:lastPrinted>
  <dcterms:modified xsi:type="dcterms:W3CDTF">2025-12-10T01:59:48Z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0506A70A3D924E5994A5DFB358E57465_13</vt:lpwstr>
  </property>
  <property fmtid="{D5CDD505-2E9C-101B-9397-08002B2CF9AE}" pid="4" name="KSOTemplateDocerSaveRecord">
    <vt:lpwstr>eyJoZGlkIjoiZjkyZWE0ZDcyMGNmZGU1YzE5ZWRmNjFmNDljMDExN2EiLCJ1c2VySWQiOiIyMzM5NTE3MzYifQ==</vt:lpwstr>
  </property>
</Properties>
</file>