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color w:val="000000"/>
          <w:sz w:val="24"/>
        </w:rPr>
      </w:pPr>
      <w:r>
        <w:rPr>
          <w:rFonts w:hint="default" w:ascii="Times New Roman" w:hAnsi="Times New Roman" w:eastAsia="黑体" w:cs="Times New Roman"/>
          <w:color w:val="000000"/>
          <w:szCs w:val="32"/>
          <w:lang w:bidi="zh-TW"/>
        </w:rPr>
        <w:t>附件1</w:t>
      </w:r>
    </w:p>
    <w:tbl>
      <w:tblPr>
        <w:tblStyle w:val="2"/>
        <w:tblpPr w:leftFromText="180" w:rightFromText="180" w:vertAnchor="text" w:horzAnchor="page" w:tblpXSpec="center" w:tblpY="48"/>
        <w:tblOverlap w:val="neve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492"/>
        <w:gridCol w:w="9588"/>
        <w:gridCol w:w="2212"/>
        <w:gridCol w:w="776"/>
        <w:gridCol w:w="686"/>
        <w:gridCol w:w="6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5428" w:type="dxa"/>
            <w:gridSpan w:val="6"/>
            <w:tcBorders>
              <w:top w:val="nil"/>
              <w:left w:val="nil"/>
              <w:right w:val="nil"/>
            </w:tcBorders>
            <w:noWrap w:val="0"/>
            <w:vAlign w:val="center"/>
          </w:tcPr>
          <w:p>
            <w:pPr>
              <w:widowControl/>
              <w:jc w:val="center"/>
              <w:textAlignment w:val="center"/>
              <w:rPr>
                <w:rFonts w:hint="default" w:ascii="Times New Roman" w:hAnsi="Times New Roman" w:eastAsia="方正小标宋_GBK" w:cs="Times New Roman"/>
                <w:bCs/>
                <w:color w:val="000000"/>
                <w:kern w:val="0"/>
                <w:sz w:val="44"/>
                <w:szCs w:val="44"/>
              </w:rPr>
            </w:pPr>
            <w:r>
              <w:rPr>
                <w:rFonts w:hint="default" w:ascii="Times New Roman" w:hAnsi="Times New Roman" w:eastAsia="方正小标宋_GBK" w:cs="Times New Roman"/>
                <w:bCs/>
                <w:color w:val="000000"/>
                <w:kern w:val="0"/>
                <w:sz w:val="44"/>
                <w:szCs w:val="44"/>
              </w:rPr>
              <w:t>昆山市物业服务质量“红黑榜”考核表（区镇）</w:t>
            </w:r>
          </w:p>
          <w:p>
            <w:pPr>
              <w:widowControl/>
              <w:jc w:val="left"/>
              <w:textAlignment w:val="center"/>
              <w:rPr>
                <w:rFonts w:hint="default" w:ascii="Times New Roman" w:hAnsi="Times New Roman" w:cs="Times New Roman"/>
                <w:b/>
                <w:color w:val="000000"/>
                <w:sz w:val="48"/>
                <w:szCs w:val="48"/>
              </w:rPr>
            </w:pPr>
            <w:r>
              <w:rPr>
                <w:rFonts w:hint="default" w:ascii="Times New Roman" w:hAnsi="Times New Roman" w:eastAsia="黑体" w:cs="Times New Roman"/>
                <w:bCs/>
                <w:color w:val="000000"/>
                <w:kern w:val="0"/>
                <w:sz w:val="24"/>
              </w:rPr>
              <w:t>所属区镇：                          物管项目：                      物业公司：                     考核日期：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23" w:hRule="atLeast"/>
          <w:jc w:val="center"/>
        </w:trPr>
        <w:tc>
          <w:tcPr>
            <w:tcW w:w="1492" w:type="dxa"/>
            <w:noWrap w:val="0"/>
            <w:vAlign w:val="center"/>
          </w:tcPr>
          <w:p>
            <w:pPr>
              <w:widowControl/>
              <w:jc w:val="center"/>
              <w:textAlignment w:val="center"/>
              <w:rPr>
                <w:rFonts w:hint="default" w:ascii="Times New Roman" w:hAnsi="Times New Roman" w:eastAsia="黑体" w:cs="Times New Roman"/>
                <w:bCs/>
                <w:color w:val="000000"/>
                <w:sz w:val="24"/>
              </w:rPr>
            </w:pPr>
            <w:r>
              <w:rPr>
                <w:rFonts w:hint="default" w:ascii="Times New Roman" w:hAnsi="Times New Roman" w:eastAsia="黑体" w:cs="Times New Roman"/>
                <w:bCs/>
                <w:color w:val="000000"/>
                <w:kern w:val="0"/>
                <w:sz w:val="24"/>
              </w:rPr>
              <w:t>类别</w:t>
            </w:r>
          </w:p>
        </w:tc>
        <w:tc>
          <w:tcPr>
            <w:tcW w:w="9588" w:type="dxa"/>
            <w:noWrap w:val="0"/>
            <w:vAlign w:val="center"/>
          </w:tcPr>
          <w:p>
            <w:pPr>
              <w:widowControl/>
              <w:jc w:val="center"/>
              <w:textAlignment w:val="center"/>
              <w:rPr>
                <w:rFonts w:hint="default" w:ascii="Times New Roman" w:hAnsi="Times New Roman" w:eastAsia="黑体" w:cs="Times New Roman"/>
                <w:bCs/>
                <w:color w:val="000000"/>
                <w:sz w:val="24"/>
              </w:rPr>
            </w:pPr>
            <w:r>
              <w:rPr>
                <w:rFonts w:hint="default" w:ascii="Times New Roman" w:hAnsi="Times New Roman" w:eastAsia="黑体" w:cs="Times New Roman"/>
                <w:bCs/>
                <w:color w:val="000000"/>
                <w:kern w:val="0"/>
                <w:sz w:val="24"/>
              </w:rPr>
              <w:t>考核内容</w:t>
            </w:r>
          </w:p>
        </w:tc>
        <w:tc>
          <w:tcPr>
            <w:tcW w:w="2212" w:type="dxa"/>
            <w:noWrap w:val="0"/>
            <w:vAlign w:val="center"/>
          </w:tcPr>
          <w:p>
            <w:pPr>
              <w:widowControl/>
              <w:jc w:val="center"/>
              <w:textAlignment w:val="center"/>
              <w:rPr>
                <w:rFonts w:hint="default" w:ascii="Times New Roman" w:hAnsi="Times New Roman" w:eastAsia="黑体" w:cs="Times New Roman"/>
                <w:bCs/>
                <w:color w:val="000000"/>
                <w:sz w:val="24"/>
              </w:rPr>
            </w:pPr>
            <w:r>
              <w:rPr>
                <w:rFonts w:hint="default" w:ascii="Times New Roman" w:hAnsi="Times New Roman" w:eastAsia="黑体" w:cs="Times New Roman"/>
                <w:bCs/>
                <w:color w:val="000000"/>
                <w:kern w:val="0"/>
                <w:sz w:val="24"/>
              </w:rPr>
              <w:t>评分标准</w:t>
            </w:r>
          </w:p>
        </w:tc>
        <w:tc>
          <w:tcPr>
            <w:tcW w:w="776" w:type="dxa"/>
            <w:noWrap w:val="0"/>
            <w:vAlign w:val="center"/>
          </w:tcPr>
          <w:p>
            <w:pPr>
              <w:widowControl/>
              <w:jc w:val="center"/>
              <w:textAlignment w:val="center"/>
              <w:rPr>
                <w:rFonts w:hint="default" w:ascii="Times New Roman" w:hAnsi="Times New Roman" w:eastAsia="黑体" w:cs="Times New Roman"/>
                <w:bCs/>
                <w:color w:val="000000"/>
                <w:sz w:val="24"/>
              </w:rPr>
            </w:pPr>
            <w:r>
              <w:rPr>
                <w:rFonts w:hint="default" w:ascii="Times New Roman" w:hAnsi="Times New Roman" w:eastAsia="黑体" w:cs="Times New Roman"/>
                <w:bCs/>
                <w:color w:val="000000"/>
                <w:kern w:val="0"/>
                <w:sz w:val="24"/>
              </w:rPr>
              <w:t>分值</w:t>
            </w:r>
          </w:p>
        </w:tc>
        <w:tc>
          <w:tcPr>
            <w:tcW w:w="686" w:type="dxa"/>
            <w:noWrap w:val="0"/>
            <w:vAlign w:val="center"/>
          </w:tcPr>
          <w:p>
            <w:pPr>
              <w:widowControl/>
              <w:jc w:val="center"/>
              <w:textAlignment w:val="center"/>
              <w:rPr>
                <w:rFonts w:hint="default" w:ascii="Times New Roman" w:hAnsi="Times New Roman" w:eastAsia="黑体" w:cs="Times New Roman"/>
                <w:bCs/>
                <w:color w:val="000000"/>
                <w:sz w:val="24"/>
              </w:rPr>
            </w:pPr>
            <w:r>
              <w:rPr>
                <w:rFonts w:hint="default" w:ascii="Times New Roman" w:hAnsi="Times New Roman" w:eastAsia="黑体" w:cs="Times New Roman"/>
                <w:bCs/>
                <w:color w:val="000000"/>
                <w:kern w:val="0"/>
                <w:sz w:val="24"/>
              </w:rPr>
              <w:t>得分</w:t>
            </w:r>
          </w:p>
        </w:tc>
        <w:tc>
          <w:tcPr>
            <w:tcW w:w="674" w:type="dxa"/>
            <w:noWrap w:val="0"/>
            <w:vAlign w:val="center"/>
          </w:tcPr>
          <w:p>
            <w:pPr>
              <w:widowControl/>
              <w:jc w:val="center"/>
              <w:textAlignment w:val="center"/>
              <w:rPr>
                <w:rFonts w:hint="default" w:ascii="Times New Roman" w:hAnsi="Times New Roman" w:eastAsia="黑体" w:cs="Times New Roman"/>
                <w:bCs/>
                <w:color w:val="000000"/>
                <w:sz w:val="24"/>
              </w:rPr>
            </w:pPr>
            <w:r>
              <w:rPr>
                <w:rFonts w:hint="default" w:ascii="Times New Roman" w:hAnsi="Times New Roman" w:eastAsia="黑体" w:cs="Times New Roman"/>
                <w:bCs/>
                <w:color w:val="000000"/>
                <w:kern w:val="0"/>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71" w:hRule="atLeast"/>
          <w:jc w:val="center"/>
        </w:trPr>
        <w:tc>
          <w:tcPr>
            <w:tcW w:w="1492" w:type="dxa"/>
            <w:vMerge w:val="restart"/>
            <w:noWrap w:val="0"/>
            <w:vAlign w:val="center"/>
          </w:tcPr>
          <w:p>
            <w:pPr>
              <w:widowControl/>
              <w:textAlignment w:val="center"/>
              <w:rPr>
                <w:rFonts w:hint="default" w:ascii="Times New Roman" w:hAnsi="Times New Roman" w:eastAsia="宋体" w:cs="Times New Roman"/>
                <w:color w:val="000000"/>
                <w:kern w:val="0"/>
                <w:sz w:val="21"/>
                <w:szCs w:val="21"/>
              </w:rPr>
            </w:pPr>
          </w:p>
          <w:p>
            <w:pPr>
              <w:widowControl/>
              <w:textAlignment w:val="center"/>
              <w:rPr>
                <w:rFonts w:hint="default" w:ascii="Times New Roman" w:hAnsi="Times New Roman" w:eastAsia="宋体" w:cs="Times New Roman"/>
                <w:color w:val="000000"/>
                <w:kern w:val="0"/>
                <w:sz w:val="21"/>
                <w:szCs w:val="21"/>
              </w:rPr>
            </w:pPr>
          </w:p>
          <w:p>
            <w:pPr>
              <w:widowControl/>
              <w:textAlignment w:val="center"/>
              <w:rPr>
                <w:rFonts w:hint="default" w:ascii="Times New Roman" w:hAnsi="Times New Roman" w:eastAsia="宋体" w:cs="Times New Roman"/>
                <w:color w:val="000000"/>
                <w:kern w:val="0"/>
                <w:sz w:val="21"/>
                <w:szCs w:val="21"/>
              </w:rPr>
            </w:pPr>
          </w:p>
          <w:p>
            <w:pPr>
              <w:widowControl/>
              <w:textAlignment w:val="center"/>
              <w:rPr>
                <w:rFonts w:hint="default" w:ascii="Times New Roman" w:hAnsi="Times New Roman" w:eastAsia="宋体" w:cs="Times New Roman"/>
                <w:color w:val="000000"/>
                <w:kern w:val="0"/>
                <w:sz w:val="21"/>
                <w:szCs w:val="21"/>
              </w:rPr>
            </w:pPr>
          </w:p>
          <w:p>
            <w:pPr>
              <w:widowControl/>
              <w:textAlignment w:val="center"/>
              <w:rPr>
                <w:rFonts w:hint="default" w:ascii="Times New Roman" w:hAnsi="Times New Roman" w:eastAsia="宋体" w:cs="Times New Roman"/>
                <w:color w:val="000000"/>
                <w:kern w:val="0"/>
                <w:sz w:val="21"/>
                <w:szCs w:val="21"/>
              </w:rPr>
            </w:pPr>
          </w:p>
          <w:p>
            <w:pPr>
              <w:widowControl/>
              <w:textAlignment w:val="center"/>
              <w:rPr>
                <w:rFonts w:hint="default" w:ascii="Times New Roman" w:hAnsi="Times New Roman" w:eastAsia="宋体" w:cs="Times New Roman"/>
                <w:color w:val="000000"/>
                <w:kern w:val="0"/>
                <w:sz w:val="21"/>
                <w:szCs w:val="21"/>
              </w:rPr>
            </w:pPr>
          </w:p>
          <w:p>
            <w:pPr>
              <w:widowControl/>
              <w:textAlignment w:val="center"/>
              <w:rPr>
                <w:rFonts w:hint="default" w:ascii="Times New Roman" w:hAnsi="Times New Roman" w:eastAsia="宋体" w:cs="Times New Roman"/>
                <w:color w:val="000000"/>
                <w:kern w:val="0"/>
                <w:sz w:val="21"/>
                <w:szCs w:val="21"/>
              </w:rPr>
            </w:pPr>
          </w:p>
          <w:p>
            <w:pPr>
              <w:widowControl/>
              <w:numPr>
                <w:ilvl w:val="0"/>
                <w:numId w:val="1"/>
              </w:numPr>
              <w:ind w:left="210" w:hanging="210" w:hangingChars="100"/>
              <w:jc w:val="left"/>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综合服务（21分）</w:t>
            </w:r>
          </w:p>
          <w:p>
            <w:pPr>
              <w:widowControl/>
              <w:textAlignment w:val="center"/>
              <w:rPr>
                <w:rFonts w:hint="default" w:ascii="Times New Roman" w:hAnsi="Times New Roman" w:eastAsia="宋体" w:cs="Times New Roman"/>
                <w:color w:val="000000"/>
                <w:kern w:val="0"/>
                <w:sz w:val="21"/>
                <w:szCs w:val="21"/>
              </w:rPr>
            </w:pPr>
          </w:p>
          <w:p>
            <w:pPr>
              <w:widowControl/>
              <w:textAlignment w:val="center"/>
              <w:rPr>
                <w:rFonts w:hint="default" w:ascii="Times New Roman" w:hAnsi="Times New Roman" w:eastAsia="宋体" w:cs="Times New Roman"/>
                <w:color w:val="000000"/>
                <w:kern w:val="0"/>
                <w:sz w:val="21"/>
                <w:szCs w:val="21"/>
              </w:rPr>
            </w:pPr>
          </w:p>
          <w:p>
            <w:pPr>
              <w:widowControl/>
              <w:ind w:left="-320" w:leftChars="-100"/>
              <w:textAlignment w:val="center"/>
              <w:rPr>
                <w:rFonts w:hint="default" w:ascii="Times New Roman" w:hAnsi="Times New Roman" w:eastAsia="宋体" w:cs="Times New Roman"/>
                <w:color w:val="000000"/>
                <w:kern w:val="0"/>
                <w:sz w:val="21"/>
                <w:szCs w:val="21"/>
              </w:rPr>
            </w:pPr>
          </w:p>
        </w:tc>
        <w:tc>
          <w:tcPr>
            <w:tcW w:w="9588" w:type="dxa"/>
            <w:noWrap w:val="0"/>
            <w:vAlign w:val="center"/>
          </w:tcPr>
          <w:p>
            <w:pPr>
              <w:widowControl/>
              <w:jc w:val="left"/>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1.项目经理持证上岗；有完善的管理方案、员工岗位责任制与考核制度、报修服务与投诉处理制度；有突发事件应急处理预案。</w:t>
            </w:r>
          </w:p>
        </w:tc>
        <w:tc>
          <w:tcPr>
            <w:tcW w:w="2212" w:type="dxa"/>
            <w:noWrap w:val="0"/>
            <w:vAlign w:val="center"/>
          </w:tcPr>
          <w:p>
            <w:pPr>
              <w:widowControl/>
              <w:jc w:val="left"/>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无项目经理证扣1分，制度缺失扣1分，预案缺失扣1分</w:t>
            </w:r>
          </w:p>
        </w:tc>
        <w:tc>
          <w:tcPr>
            <w:tcW w:w="776" w:type="dxa"/>
            <w:noWrap w:val="0"/>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3</w:t>
            </w:r>
          </w:p>
        </w:tc>
        <w:tc>
          <w:tcPr>
            <w:tcW w:w="686" w:type="dxa"/>
            <w:noWrap w:val="0"/>
            <w:vAlign w:val="center"/>
          </w:tcPr>
          <w:p>
            <w:pPr>
              <w:jc w:val="center"/>
              <w:rPr>
                <w:rFonts w:hint="default" w:ascii="Times New Roman" w:hAnsi="Times New Roman" w:eastAsia="宋体" w:cs="Times New Roman"/>
                <w:color w:val="000000"/>
                <w:sz w:val="21"/>
                <w:szCs w:val="21"/>
              </w:rPr>
            </w:pPr>
          </w:p>
        </w:tc>
        <w:tc>
          <w:tcPr>
            <w:tcW w:w="674" w:type="dxa"/>
            <w:noWrap w:val="0"/>
            <w:vAlign w:val="center"/>
          </w:tcPr>
          <w:p>
            <w:pPr>
              <w:jc w:val="center"/>
              <w:rPr>
                <w:rFonts w:hint="default" w:ascii="Times New Roman" w:hAnsi="Times New Roman" w:eastAsia="宋体" w:cs="Times New Roman"/>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79" w:hRule="atLeast"/>
          <w:jc w:val="center"/>
        </w:trPr>
        <w:tc>
          <w:tcPr>
            <w:tcW w:w="1492" w:type="dxa"/>
            <w:vMerge w:val="continue"/>
            <w:noWrap w:val="0"/>
            <w:vAlign w:val="center"/>
          </w:tcPr>
          <w:p>
            <w:pPr>
              <w:widowControl/>
              <w:textAlignment w:val="center"/>
              <w:rPr>
                <w:rFonts w:hint="default" w:ascii="Times New Roman" w:hAnsi="Times New Roman" w:eastAsia="宋体" w:cs="Times New Roman"/>
                <w:color w:val="000000"/>
                <w:kern w:val="0"/>
                <w:sz w:val="21"/>
                <w:szCs w:val="21"/>
              </w:rPr>
            </w:pPr>
          </w:p>
        </w:tc>
        <w:tc>
          <w:tcPr>
            <w:tcW w:w="9588" w:type="dxa"/>
            <w:noWrap w:val="0"/>
            <w:vAlign w:val="center"/>
          </w:tcPr>
          <w:p>
            <w:pPr>
              <w:widowControl/>
              <w:jc w:val="left"/>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2.公示物业服务内容、收费标准及服务收费收支情况、服务监督电话、服务承诺等；小区经营性收支情况、代收代缴、汽车停放费单独列账，独立核算，每半年公示一次。</w:t>
            </w:r>
          </w:p>
        </w:tc>
        <w:tc>
          <w:tcPr>
            <w:tcW w:w="2212" w:type="dxa"/>
            <w:noWrap w:val="0"/>
            <w:vAlign w:val="center"/>
          </w:tcPr>
          <w:p>
            <w:pPr>
              <w:widowControl/>
              <w:jc w:val="left"/>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公示内容少一项扣1分</w:t>
            </w:r>
          </w:p>
        </w:tc>
        <w:tc>
          <w:tcPr>
            <w:tcW w:w="776" w:type="dxa"/>
            <w:noWrap w:val="0"/>
            <w:vAlign w:val="center"/>
          </w:tcPr>
          <w:p>
            <w:pPr>
              <w:widowControl/>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5</w:t>
            </w:r>
          </w:p>
        </w:tc>
        <w:tc>
          <w:tcPr>
            <w:tcW w:w="686" w:type="dxa"/>
            <w:noWrap w:val="0"/>
            <w:vAlign w:val="center"/>
          </w:tcPr>
          <w:p>
            <w:pPr>
              <w:jc w:val="center"/>
              <w:rPr>
                <w:rFonts w:hint="default" w:ascii="Times New Roman" w:hAnsi="Times New Roman" w:eastAsia="宋体" w:cs="Times New Roman"/>
                <w:color w:val="000000"/>
                <w:sz w:val="21"/>
                <w:szCs w:val="21"/>
              </w:rPr>
            </w:pPr>
          </w:p>
        </w:tc>
        <w:tc>
          <w:tcPr>
            <w:tcW w:w="674" w:type="dxa"/>
            <w:noWrap w:val="0"/>
            <w:vAlign w:val="center"/>
          </w:tcPr>
          <w:p>
            <w:pPr>
              <w:jc w:val="center"/>
              <w:rPr>
                <w:rFonts w:hint="default" w:ascii="Times New Roman" w:hAnsi="Times New Roman" w:eastAsia="宋体" w:cs="Times New Roman"/>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27" w:hRule="atLeast"/>
          <w:jc w:val="center"/>
        </w:trPr>
        <w:tc>
          <w:tcPr>
            <w:tcW w:w="1492" w:type="dxa"/>
            <w:vMerge w:val="continue"/>
            <w:noWrap w:val="0"/>
            <w:vAlign w:val="center"/>
          </w:tcPr>
          <w:p>
            <w:pPr>
              <w:jc w:val="center"/>
              <w:rPr>
                <w:rFonts w:hint="default" w:ascii="Times New Roman" w:hAnsi="Times New Roman" w:eastAsia="宋体" w:cs="Times New Roman"/>
                <w:color w:val="000000"/>
                <w:sz w:val="21"/>
                <w:szCs w:val="21"/>
              </w:rPr>
            </w:pPr>
          </w:p>
        </w:tc>
        <w:tc>
          <w:tcPr>
            <w:tcW w:w="9588" w:type="dxa"/>
            <w:noWrap w:val="0"/>
            <w:vAlign w:val="center"/>
          </w:tcPr>
          <w:p>
            <w:pPr>
              <w:widowControl/>
              <w:jc w:val="left"/>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3.公告栏、宣传栏等干净，无空白、张贴资料符合要求、广泛传播社会主义核心价值观；整洁美观，无过期资料。</w:t>
            </w:r>
          </w:p>
        </w:tc>
        <w:tc>
          <w:tcPr>
            <w:tcW w:w="2212" w:type="dxa"/>
            <w:noWrap w:val="0"/>
            <w:vAlign w:val="center"/>
          </w:tcPr>
          <w:p>
            <w:pPr>
              <w:widowControl/>
              <w:jc w:val="left"/>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达不到标准，每项扣1分</w:t>
            </w:r>
          </w:p>
        </w:tc>
        <w:tc>
          <w:tcPr>
            <w:tcW w:w="776" w:type="dxa"/>
            <w:noWrap w:val="0"/>
            <w:vAlign w:val="center"/>
          </w:tcPr>
          <w:p>
            <w:pPr>
              <w:widowControl/>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3</w:t>
            </w:r>
          </w:p>
        </w:tc>
        <w:tc>
          <w:tcPr>
            <w:tcW w:w="686" w:type="dxa"/>
            <w:noWrap w:val="0"/>
            <w:vAlign w:val="center"/>
          </w:tcPr>
          <w:p>
            <w:pPr>
              <w:jc w:val="center"/>
              <w:rPr>
                <w:rFonts w:hint="default" w:ascii="Times New Roman" w:hAnsi="Times New Roman" w:eastAsia="宋体" w:cs="Times New Roman"/>
                <w:color w:val="000000"/>
                <w:sz w:val="21"/>
                <w:szCs w:val="21"/>
              </w:rPr>
            </w:pPr>
          </w:p>
        </w:tc>
        <w:tc>
          <w:tcPr>
            <w:tcW w:w="674" w:type="dxa"/>
            <w:noWrap w:val="0"/>
            <w:vAlign w:val="center"/>
          </w:tcPr>
          <w:p>
            <w:pPr>
              <w:jc w:val="center"/>
              <w:rPr>
                <w:rFonts w:hint="default" w:ascii="Times New Roman" w:hAnsi="Times New Roman" w:eastAsia="宋体" w:cs="Times New Roman"/>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27" w:hRule="atLeast"/>
          <w:jc w:val="center"/>
        </w:trPr>
        <w:tc>
          <w:tcPr>
            <w:tcW w:w="1492" w:type="dxa"/>
            <w:vMerge w:val="continue"/>
            <w:noWrap w:val="0"/>
            <w:vAlign w:val="center"/>
          </w:tcPr>
          <w:p>
            <w:pPr>
              <w:jc w:val="center"/>
              <w:rPr>
                <w:rFonts w:hint="default" w:ascii="Times New Roman" w:hAnsi="Times New Roman" w:eastAsia="宋体" w:cs="Times New Roman"/>
                <w:color w:val="000000"/>
                <w:sz w:val="21"/>
                <w:szCs w:val="21"/>
              </w:rPr>
            </w:pPr>
          </w:p>
        </w:tc>
        <w:tc>
          <w:tcPr>
            <w:tcW w:w="9588" w:type="dxa"/>
            <w:noWrap w:val="0"/>
            <w:vAlign w:val="center"/>
          </w:tcPr>
          <w:p>
            <w:pPr>
              <w:widowControl/>
              <w:jc w:val="left"/>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4.主出入口设有小区平面示意图，监控室配置小区地图，标识出入口、道路、楼栋、监控、路灯等；监控录像保存时间不少于15天；监控回放、调用有记录、有授权。</w:t>
            </w:r>
          </w:p>
        </w:tc>
        <w:tc>
          <w:tcPr>
            <w:tcW w:w="2212" w:type="dxa"/>
            <w:noWrap w:val="0"/>
            <w:vAlign w:val="center"/>
          </w:tcPr>
          <w:p>
            <w:pPr>
              <w:widowControl/>
              <w:jc w:val="left"/>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达不到标准，每项扣1分</w:t>
            </w:r>
          </w:p>
        </w:tc>
        <w:tc>
          <w:tcPr>
            <w:tcW w:w="776" w:type="dxa"/>
            <w:noWrap w:val="0"/>
            <w:vAlign w:val="center"/>
          </w:tcPr>
          <w:p>
            <w:pPr>
              <w:widowControl/>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3</w:t>
            </w:r>
          </w:p>
        </w:tc>
        <w:tc>
          <w:tcPr>
            <w:tcW w:w="686" w:type="dxa"/>
            <w:noWrap w:val="0"/>
            <w:vAlign w:val="center"/>
          </w:tcPr>
          <w:p>
            <w:pPr>
              <w:jc w:val="center"/>
              <w:rPr>
                <w:rFonts w:hint="default" w:ascii="Times New Roman" w:hAnsi="Times New Roman" w:eastAsia="宋体" w:cs="Times New Roman"/>
                <w:color w:val="000000"/>
                <w:sz w:val="21"/>
                <w:szCs w:val="21"/>
              </w:rPr>
            </w:pPr>
          </w:p>
        </w:tc>
        <w:tc>
          <w:tcPr>
            <w:tcW w:w="674" w:type="dxa"/>
            <w:noWrap w:val="0"/>
            <w:vAlign w:val="center"/>
          </w:tcPr>
          <w:p>
            <w:pPr>
              <w:jc w:val="center"/>
              <w:rPr>
                <w:rFonts w:hint="default" w:ascii="Times New Roman" w:hAnsi="Times New Roman" w:eastAsia="宋体" w:cs="Times New Roman"/>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27" w:hRule="atLeast"/>
          <w:jc w:val="center"/>
        </w:trPr>
        <w:tc>
          <w:tcPr>
            <w:tcW w:w="1492" w:type="dxa"/>
            <w:vMerge w:val="continue"/>
            <w:noWrap w:val="0"/>
            <w:vAlign w:val="center"/>
          </w:tcPr>
          <w:p>
            <w:pPr>
              <w:jc w:val="center"/>
              <w:rPr>
                <w:rFonts w:hint="default" w:ascii="Times New Roman" w:hAnsi="Times New Roman" w:eastAsia="宋体" w:cs="Times New Roman"/>
                <w:color w:val="000000"/>
                <w:sz w:val="21"/>
                <w:szCs w:val="21"/>
              </w:rPr>
            </w:pPr>
          </w:p>
        </w:tc>
        <w:tc>
          <w:tcPr>
            <w:tcW w:w="9588" w:type="dxa"/>
            <w:noWrap w:val="0"/>
            <w:vAlign w:val="center"/>
          </w:tcPr>
          <w:p>
            <w:pPr>
              <w:widowControl/>
              <w:jc w:val="left"/>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5.监控报警中心按照管理要求配置挡鼠板、上墙文件、责任人、温湿度计、灭火器、防尘鞋套、标识系统等。</w:t>
            </w:r>
          </w:p>
        </w:tc>
        <w:tc>
          <w:tcPr>
            <w:tcW w:w="2212" w:type="dxa"/>
            <w:noWrap w:val="0"/>
            <w:vAlign w:val="center"/>
          </w:tcPr>
          <w:p>
            <w:pPr>
              <w:widowControl/>
              <w:jc w:val="left"/>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达不到标准，每项扣0.5分</w:t>
            </w:r>
          </w:p>
        </w:tc>
        <w:tc>
          <w:tcPr>
            <w:tcW w:w="776" w:type="dxa"/>
            <w:noWrap w:val="0"/>
            <w:vAlign w:val="center"/>
          </w:tcPr>
          <w:p>
            <w:pPr>
              <w:widowControl/>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2</w:t>
            </w:r>
          </w:p>
        </w:tc>
        <w:tc>
          <w:tcPr>
            <w:tcW w:w="686" w:type="dxa"/>
            <w:noWrap w:val="0"/>
            <w:vAlign w:val="center"/>
          </w:tcPr>
          <w:p>
            <w:pPr>
              <w:jc w:val="center"/>
              <w:rPr>
                <w:rFonts w:hint="default" w:ascii="Times New Roman" w:hAnsi="Times New Roman" w:eastAsia="宋体" w:cs="Times New Roman"/>
                <w:color w:val="000000"/>
                <w:sz w:val="21"/>
                <w:szCs w:val="21"/>
              </w:rPr>
            </w:pPr>
          </w:p>
        </w:tc>
        <w:tc>
          <w:tcPr>
            <w:tcW w:w="674" w:type="dxa"/>
            <w:noWrap w:val="0"/>
            <w:vAlign w:val="center"/>
          </w:tcPr>
          <w:p>
            <w:pPr>
              <w:jc w:val="center"/>
              <w:rPr>
                <w:rFonts w:hint="default" w:ascii="Times New Roman" w:hAnsi="Times New Roman" w:eastAsia="宋体" w:cs="Times New Roman"/>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97" w:hRule="atLeast"/>
          <w:jc w:val="center"/>
        </w:trPr>
        <w:tc>
          <w:tcPr>
            <w:tcW w:w="1492" w:type="dxa"/>
            <w:vMerge w:val="continue"/>
            <w:noWrap w:val="0"/>
            <w:vAlign w:val="center"/>
          </w:tcPr>
          <w:p>
            <w:pPr>
              <w:jc w:val="center"/>
              <w:rPr>
                <w:rFonts w:hint="default" w:ascii="Times New Roman" w:hAnsi="Times New Roman" w:eastAsia="宋体" w:cs="Times New Roman"/>
                <w:color w:val="000000"/>
                <w:sz w:val="21"/>
                <w:szCs w:val="21"/>
              </w:rPr>
            </w:pPr>
          </w:p>
        </w:tc>
        <w:tc>
          <w:tcPr>
            <w:tcW w:w="9588" w:type="dxa"/>
            <w:noWrap w:val="0"/>
            <w:vAlign w:val="center"/>
          </w:tcPr>
          <w:p>
            <w:pPr>
              <w:widowControl/>
              <w:jc w:val="left"/>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6.应急物资的准备：应配齐一定数量的防汛沙袋、铁锹、应急灯、防滑草垫、麻袋、工业盐等应急物资，应统一存放在应急物资存放点，并制定应急物资清单。使用有记录，每月点检。</w:t>
            </w:r>
          </w:p>
        </w:tc>
        <w:tc>
          <w:tcPr>
            <w:tcW w:w="2212" w:type="dxa"/>
            <w:noWrap w:val="0"/>
            <w:vAlign w:val="center"/>
          </w:tcPr>
          <w:p>
            <w:pPr>
              <w:widowControl/>
              <w:jc w:val="left"/>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达不到标准，每项扣1分</w:t>
            </w:r>
          </w:p>
        </w:tc>
        <w:tc>
          <w:tcPr>
            <w:tcW w:w="776" w:type="dxa"/>
            <w:noWrap w:val="0"/>
            <w:vAlign w:val="center"/>
          </w:tcPr>
          <w:p>
            <w:pPr>
              <w:widowControl/>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3</w:t>
            </w:r>
          </w:p>
        </w:tc>
        <w:tc>
          <w:tcPr>
            <w:tcW w:w="686" w:type="dxa"/>
            <w:noWrap w:val="0"/>
            <w:vAlign w:val="center"/>
          </w:tcPr>
          <w:p>
            <w:pPr>
              <w:jc w:val="center"/>
              <w:rPr>
                <w:rFonts w:hint="default" w:ascii="Times New Roman" w:hAnsi="Times New Roman" w:eastAsia="宋体" w:cs="Times New Roman"/>
                <w:color w:val="000000"/>
                <w:sz w:val="21"/>
                <w:szCs w:val="21"/>
              </w:rPr>
            </w:pPr>
          </w:p>
        </w:tc>
        <w:tc>
          <w:tcPr>
            <w:tcW w:w="674" w:type="dxa"/>
            <w:noWrap w:val="0"/>
            <w:vAlign w:val="center"/>
          </w:tcPr>
          <w:p>
            <w:pPr>
              <w:jc w:val="center"/>
              <w:rPr>
                <w:rFonts w:hint="default" w:ascii="Times New Roman" w:hAnsi="Times New Roman" w:eastAsia="宋体" w:cs="Times New Roman"/>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47" w:hRule="atLeast"/>
          <w:jc w:val="center"/>
        </w:trPr>
        <w:tc>
          <w:tcPr>
            <w:tcW w:w="1492" w:type="dxa"/>
            <w:vMerge w:val="continue"/>
            <w:noWrap w:val="0"/>
            <w:vAlign w:val="center"/>
          </w:tcPr>
          <w:p>
            <w:pPr>
              <w:jc w:val="center"/>
              <w:rPr>
                <w:rFonts w:hint="default" w:ascii="Times New Roman" w:hAnsi="Times New Roman" w:eastAsia="宋体" w:cs="Times New Roman"/>
                <w:color w:val="000000"/>
                <w:sz w:val="21"/>
                <w:szCs w:val="21"/>
              </w:rPr>
            </w:pPr>
          </w:p>
        </w:tc>
        <w:tc>
          <w:tcPr>
            <w:tcW w:w="9588" w:type="dxa"/>
            <w:noWrap w:val="0"/>
            <w:vAlign w:val="center"/>
          </w:tcPr>
          <w:p>
            <w:pPr>
              <w:widowControl/>
              <w:jc w:val="left"/>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7.儿童游乐场、健身区域设置安全提示；自然水景和景观水池无明显垃圾，水质良好，有警示标识、水深标识及有效的救生器材。</w:t>
            </w:r>
          </w:p>
        </w:tc>
        <w:tc>
          <w:tcPr>
            <w:tcW w:w="2212" w:type="dxa"/>
            <w:noWrap w:val="0"/>
            <w:vAlign w:val="center"/>
          </w:tcPr>
          <w:p>
            <w:pPr>
              <w:widowControl/>
              <w:jc w:val="left"/>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达不到标准，每项扣1分</w:t>
            </w:r>
          </w:p>
        </w:tc>
        <w:tc>
          <w:tcPr>
            <w:tcW w:w="776" w:type="dxa"/>
            <w:noWrap w:val="0"/>
            <w:vAlign w:val="center"/>
          </w:tcPr>
          <w:p>
            <w:pPr>
              <w:widowControl/>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2</w:t>
            </w:r>
          </w:p>
        </w:tc>
        <w:tc>
          <w:tcPr>
            <w:tcW w:w="686" w:type="dxa"/>
            <w:noWrap w:val="0"/>
            <w:vAlign w:val="center"/>
          </w:tcPr>
          <w:p>
            <w:pPr>
              <w:jc w:val="center"/>
              <w:rPr>
                <w:rFonts w:hint="default" w:ascii="Times New Roman" w:hAnsi="Times New Roman" w:eastAsia="宋体" w:cs="Times New Roman"/>
                <w:color w:val="000000"/>
                <w:sz w:val="21"/>
                <w:szCs w:val="21"/>
              </w:rPr>
            </w:pPr>
          </w:p>
        </w:tc>
        <w:tc>
          <w:tcPr>
            <w:tcW w:w="674" w:type="dxa"/>
            <w:noWrap w:val="0"/>
            <w:vAlign w:val="center"/>
          </w:tcPr>
          <w:p>
            <w:pPr>
              <w:jc w:val="center"/>
              <w:rPr>
                <w:rFonts w:hint="default" w:ascii="Times New Roman" w:hAnsi="Times New Roman" w:eastAsia="宋体" w:cs="Times New Roman"/>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492" w:type="dxa"/>
            <w:vMerge w:val="restart"/>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二、消防设施维保（18分，别墅项目检查4-6项，共8分）</w:t>
            </w:r>
          </w:p>
        </w:tc>
        <w:tc>
          <w:tcPr>
            <w:tcW w:w="9588" w:type="dxa"/>
            <w:noWrap w:val="0"/>
            <w:vAlign w:val="center"/>
          </w:tcPr>
          <w:p>
            <w:pPr>
              <w:widowControl/>
              <w:jc w:val="left"/>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1.消防泵房：泵体无异常；消防喷淋压力符合要求，系统运行正常；检查消防泵每月启动一次记录及保养记录；每半年/年一次消防联动，并留有打印记录。</w:t>
            </w:r>
          </w:p>
        </w:tc>
        <w:tc>
          <w:tcPr>
            <w:tcW w:w="2212" w:type="dxa"/>
            <w:noWrap w:val="0"/>
            <w:vAlign w:val="center"/>
          </w:tcPr>
          <w:p>
            <w:pPr>
              <w:widowControl/>
              <w:jc w:val="left"/>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达不到标准，每项扣1分。修复过程中的酌情扣分。</w:t>
            </w:r>
          </w:p>
        </w:tc>
        <w:tc>
          <w:tcPr>
            <w:tcW w:w="776" w:type="dxa"/>
            <w:noWrap w:val="0"/>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4</w:t>
            </w:r>
          </w:p>
        </w:tc>
        <w:tc>
          <w:tcPr>
            <w:tcW w:w="686" w:type="dxa"/>
            <w:noWrap w:val="0"/>
            <w:vAlign w:val="center"/>
          </w:tcPr>
          <w:p>
            <w:pPr>
              <w:jc w:val="center"/>
              <w:rPr>
                <w:rFonts w:hint="default" w:ascii="Times New Roman" w:hAnsi="Times New Roman" w:eastAsia="宋体" w:cs="Times New Roman"/>
                <w:color w:val="000000"/>
                <w:sz w:val="21"/>
                <w:szCs w:val="21"/>
              </w:rPr>
            </w:pPr>
          </w:p>
        </w:tc>
        <w:tc>
          <w:tcPr>
            <w:tcW w:w="674" w:type="dxa"/>
            <w:noWrap w:val="0"/>
            <w:vAlign w:val="center"/>
          </w:tcPr>
          <w:p>
            <w:pPr>
              <w:jc w:val="center"/>
              <w:rPr>
                <w:rFonts w:hint="default" w:ascii="Times New Roman" w:hAnsi="Times New Roman" w:eastAsia="宋体" w:cs="Times New Roman"/>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97" w:hRule="atLeast"/>
          <w:jc w:val="center"/>
        </w:trPr>
        <w:tc>
          <w:tcPr>
            <w:tcW w:w="1492" w:type="dxa"/>
            <w:vMerge w:val="continue"/>
            <w:noWrap w:val="0"/>
            <w:vAlign w:val="center"/>
          </w:tcPr>
          <w:p>
            <w:pPr>
              <w:jc w:val="center"/>
              <w:rPr>
                <w:rFonts w:hint="default" w:ascii="Times New Roman" w:hAnsi="Times New Roman" w:eastAsia="宋体" w:cs="Times New Roman"/>
                <w:color w:val="000000"/>
                <w:sz w:val="21"/>
                <w:szCs w:val="21"/>
              </w:rPr>
            </w:pPr>
          </w:p>
        </w:tc>
        <w:tc>
          <w:tcPr>
            <w:tcW w:w="9588" w:type="dxa"/>
            <w:noWrap w:val="0"/>
            <w:vAlign w:val="center"/>
          </w:tcPr>
          <w:p>
            <w:pPr>
              <w:widowControl/>
              <w:jc w:val="left"/>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2.消防重点部位有专人负责，责任人及对应证书上墙公示；按要求设置消防控制室，应急预案上墙；有消防管理上岗证，落实24小时值班制度，报警处理记录和故障维修记录齐全。</w:t>
            </w:r>
          </w:p>
        </w:tc>
        <w:tc>
          <w:tcPr>
            <w:tcW w:w="2212" w:type="dxa"/>
            <w:noWrap w:val="0"/>
            <w:vAlign w:val="center"/>
          </w:tcPr>
          <w:p>
            <w:pPr>
              <w:widowControl/>
              <w:jc w:val="left"/>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达不到标准，每项扣1分</w:t>
            </w:r>
          </w:p>
        </w:tc>
        <w:tc>
          <w:tcPr>
            <w:tcW w:w="776" w:type="dxa"/>
            <w:noWrap w:val="0"/>
            <w:vAlign w:val="center"/>
          </w:tcPr>
          <w:p>
            <w:pPr>
              <w:widowControl/>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3</w:t>
            </w:r>
          </w:p>
        </w:tc>
        <w:tc>
          <w:tcPr>
            <w:tcW w:w="686" w:type="dxa"/>
            <w:noWrap w:val="0"/>
            <w:vAlign w:val="center"/>
          </w:tcPr>
          <w:p>
            <w:pPr>
              <w:jc w:val="center"/>
              <w:rPr>
                <w:rFonts w:hint="default" w:ascii="Times New Roman" w:hAnsi="Times New Roman" w:eastAsia="宋体" w:cs="Times New Roman"/>
                <w:color w:val="000000"/>
                <w:sz w:val="21"/>
                <w:szCs w:val="21"/>
              </w:rPr>
            </w:pPr>
          </w:p>
        </w:tc>
        <w:tc>
          <w:tcPr>
            <w:tcW w:w="674" w:type="dxa"/>
            <w:noWrap w:val="0"/>
            <w:vAlign w:val="center"/>
          </w:tcPr>
          <w:p>
            <w:pPr>
              <w:jc w:val="center"/>
              <w:rPr>
                <w:rFonts w:hint="default" w:ascii="Times New Roman" w:hAnsi="Times New Roman" w:eastAsia="宋体" w:cs="Times New Roman"/>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20" w:hRule="atLeast"/>
          <w:jc w:val="center"/>
        </w:trPr>
        <w:tc>
          <w:tcPr>
            <w:tcW w:w="1492" w:type="dxa"/>
            <w:vMerge w:val="continue"/>
            <w:noWrap w:val="0"/>
            <w:vAlign w:val="center"/>
          </w:tcPr>
          <w:p>
            <w:pPr>
              <w:jc w:val="center"/>
              <w:rPr>
                <w:rFonts w:hint="default" w:ascii="Times New Roman" w:hAnsi="Times New Roman" w:eastAsia="宋体" w:cs="Times New Roman"/>
                <w:color w:val="000000"/>
                <w:sz w:val="21"/>
                <w:szCs w:val="21"/>
              </w:rPr>
            </w:pPr>
          </w:p>
        </w:tc>
        <w:tc>
          <w:tcPr>
            <w:tcW w:w="9588" w:type="dxa"/>
            <w:noWrap w:val="0"/>
            <w:vAlign w:val="center"/>
          </w:tcPr>
          <w:p>
            <w:pPr>
              <w:widowControl/>
              <w:jc w:val="left"/>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3.消火栓箱内水枪、水带齐全完好，无生锈、漏水，接口垫圈完整无缺；检查报警按钮、指示灯及报警控制线路功能正常，无故障；消火栓箱及箱内配装的消防部位外观有无损坏，涂层无脱落，箱门玻璃完好无缺；标识完整，压力显示符合要求。</w:t>
            </w:r>
          </w:p>
        </w:tc>
        <w:tc>
          <w:tcPr>
            <w:tcW w:w="2212" w:type="dxa"/>
            <w:noWrap w:val="0"/>
            <w:vAlign w:val="center"/>
          </w:tcPr>
          <w:p>
            <w:pPr>
              <w:widowControl/>
              <w:jc w:val="left"/>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达不到标准，每项扣1分</w:t>
            </w:r>
          </w:p>
        </w:tc>
        <w:tc>
          <w:tcPr>
            <w:tcW w:w="776" w:type="dxa"/>
            <w:noWrap w:val="0"/>
            <w:vAlign w:val="center"/>
          </w:tcPr>
          <w:p>
            <w:pPr>
              <w:widowControl/>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3</w:t>
            </w:r>
          </w:p>
        </w:tc>
        <w:tc>
          <w:tcPr>
            <w:tcW w:w="686" w:type="dxa"/>
            <w:noWrap w:val="0"/>
            <w:vAlign w:val="center"/>
          </w:tcPr>
          <w:p>
            <w:pPr>
              <w:jc w:val="center"/>
              <w:rPr>
                <w:rFonts w:hint="default" w:ascii="Times New Roman" w:hAnsi="Times New Roman" w:eastAsia="宋体" w:cs="Times New Roman"/>
                <w:color w:val="000000"/>
                <w:sz w:val="21"/>
                <w:szCs w:val="21"/>
              </w:rPr>
            </w:pPr>
          </w:p>
        </w:tc>
        <w:tc>
          <w:tcPr>
            <w:tcW w:w="674" w:type="dxa"/>
            <w:noWrap w:val="0"/>
            <w:vAlign w:val="center"/>
          </w:tcPr>
          <w:p>
            <w:pPr>
              <w:jc w:val="center"/>
              <w:rPr>
                <w:rFonts w:hint="default" w:ascii="Times New Roman" w:hAnsi="Times New Roman" w:eastAsia="宋体" w:cs="Times New Roman"/>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67" w:hRule="atLeast"/>
          <w:jc w:val="center"/>
        </w:trPr>
        <w:tc>
          <w:tcPr>
            <w:tcW w:w="1492" w:type="dxa"/>
            <w:vMerge w:val="continue"/>
            <w:noWrap w:val="0"/>
            <w:vAlign w:val="center"/>
          </w:tcPr>
          <w:p>
            <w:pPr>
              <w:jc w:val="center"/>
              <w:rPr>
                <w:rFonts w:hint="default" w:ascii="Times New Roman" w:hAnsi="Times New Roman" w:eastAsia="宋体" w:cs="Times New Roman"/>
                <w:color w:val="000000"/>
                <w:sz w:val="21"/>
                <w:szCs w:val="21"/>
              </w:rPr>
            </w:pPr>
          </w:p>
        </w:tc>
        <w:tc>
          <w:tcPr>
            <w:tcW w:w="9588" w:type="dxa"/>
            <w:noWrap w:val="0"/>
            <w:vAlign w:val="center"/>
          </w:tcPr>
          <w:p>
            <w:pPr>
              <w:widowControl/>
              <w:jc w:val="left"/>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4.消防宣传资料上墙，培训计划有消防专项培训内容和记录；按计划每年不少于1次消防演练；项目应备有微型消防站，橱柜上锁。</w:t>
            </w:r>
          </w:p>
        </w:tc>
        <w:tc>
          <w:tcPr>
            <w:tcW w:w="2212" w:type="dxa"/>
            <w:noWrap w:val="0"/>
            <w:vAlign w:val="center"/>
          </w:tcPr>
          <w:p>
            <w:pPr>
              <w:widowControl/>
              <w:jc w:val="left"/>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达不到标准，每项扣1分</w:t>
            </w:r>
          </w:p>
        </w:tc>
        <w:tc>
          <w:tcPr>
            <w:tcW w:w="776" w:type="dxa"/>
            <w:noWrap w:val="0"/>
            <w:vAlign w:val="center"/>
          </w:tcPr>
          <w:p>
            <w:pPr>
              <w:widowControl/>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3</w:t>
            </w:r>
          </w:p>
        </w:tc>
        <w:tc>
          <w:tcPr>
            <w:tcW w:w="686" w:type="dxa"/>
            <w:noWrap w:val="0"/>
            <w:vAlign w:val="center"/>
          </w:tcPr>
          <w:p>
            <w:pPr>
              <w:jc w:val="center"/>
              <w:rPr>
                <w:rFonts w:hint="default" w:ascii="Times New Roman" w:hAnsi="Times New Roman" w:eastAsia="宋体" w:cs="Times New Roman"/>
                <w:color w:val="000000"/>
                <w:sz w:val="21"/>
                <w:szCs w:val="21"/>
              </w:rPr>
            </w:pPr>
          </w:p>
        </w:tc>
        <w:tc>
          <w:tcPr>
            <w:tcW w:w="674" w:type="dxa"/>
            <w:noWrap w:val="0"/>
            <w:vAlign w:val="center"/>
          </w:tcPr>
          <w:p>
            <w:pPr>
              <w:jc w:val="center"/>
              <w:rPr>
                <w:rFonts w:hint="default" w:ascii="Times New Roman" w:hAnsi="Times New Roman" w:eastAsia="宋体" w:cs="Times New Roman"/>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47" w:hRule="atLeast"/>
          <w:jc w:val="center"/>
        </w:trPr>
        <w:tc>
          <w:tcPr>
            <w:tcW w:w="1492" w:type="dxa"/>
            <w:vMerge w:val="continue"/>
            <w:noWrap w:val="0"/>
            <w:vAlign w:val="center"/>
          </w:tcPr>
          <w:p>
            <w:pPr>
              <w:jc w:val="center"/>
              <w:rPr>
                <w:rFonts w:hint="default" w:ascii="Times New Roman" w:hAnsi="Times New Roman" w:eastAsia="宋体" w:cs="Times New Roman"/>
                <w:color w:val="000000"/>
                <w:sz w:val="21"/>
                <w:szCs w:val="21"/>
              </w:rPr>
            </w:pPr>
          </w:p>
        </w:tc>
        <w:tc>
          <w:tcPr>
            <w:tcW w:w="9588" w:type="dxa"/>
            <w:noWrap w:val="0"/>
            <w:vAlign w:val="center"/>
          </w:tcPr>
          <w:p>
            <w:pPr>
              <w:widowControl/>
              <w:jc w:val="left"/>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5.抽查灭火器，压力正常且在有效期内；抽查消防箱，箱体外形完好，灭火器可随时启用；按月进行点检，并规范填写点检记录卡；抽查室外消火栓，能正常供水，栓体无锈烂，无滴、漏、冒。</w:t>
            </w:r>
          </w:p>
        </w:tc>
        <w:tc>
          <w:tcPr>
            <w:tcW w:w="2212" w:type="dxa"/>
            <w:noWrap w:val="0"/>
            <w:vAlign w:val="center"/>
          </w:tcPr>
          <w:p>
            <w:pPr>
              <w:widowControl/>
              <w:jc w:val="left"/>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达不到标准，每项扣1分</w:t>
            </w:r>
          </w:p>
        </w:tc>
        <w:tc>
          <w:tcPr>
            <w:tcW w:w="776" w:type="dxa"/>
            <w:noWrap w:val="0"/>
            <w:vAlign w:val="center"/>
          </w:tcPr>
          <w:p>
            <w:pPr>
              <w:widowControl/>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3</w:t>
            </w:r>
          </w:p>
        </w:tc>
        <w:tc>
          <w:tcPr>
            <w:tcW w:w="686" w:type="dxa"/>
            <w:noWrap w:val="0"/>
            <w:vAlign w:val="center"/>
          </w:tcPr>
          <w:p>
            <w:pPr>
              <w:jc w:val="center"/>
              <w:rPr>
                <w:rFonts w:hint="default" w:ascii="Times New Roman" w:hAnsi="Times New Roman" w:eastAsia="宋体" w:cs="Times New Roman"/>
                <w:color w:val="000000"/>
                <w:sz w:val="21"/>
                <w:szCs w:val="21"/>
              </w:rPr>
            </w:pPr>
          </w:p>
        </w:tc>
        <w:tc>
          <w:tcPr>
            <w:tcW w:w="674" w:type="dxa"/>
            <w:noWrap w:val="0"/>
            <w:vAlign w:val="center"/>
          </w:tcPr>
          <w:p>
            <w:pPr>
              <w:jc w:val="center"/>
              <w:rPr>
                <w:rFonts w:hint="default" w:ascii="Times New Roman" w:hAnsi="Times New Roman" w:eastAsia="宋体" w:cs="Times New Roman"/>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492" w:type="dxa"/>
            <w:vMerge w:val="continue"/>
            <w:noWrap w:val="0"/>
            <w:vAlign w:val="center"/>
          </w:tcPr>
          <w:p>
            <w:pPr>
              <w:jc w:val="center"/>
              <w:rPr>
                <w:rFonts w:hint="default" w:ascii="Times New Roman" w:hAnsi="Times New Roman" w:eastAsia="宋体" w:cs="Times New Roman"/>
                <w:color w:val="000000"/>
                <w:sz w:val="21"/>
                <w:szCs w:val="21"/>
              </w:rPr>
            </w:pPr>
          </w:p>
        </w:tc>
        <w:tc>
          <w:tcPr>
            <w:tcW w:w="9588" w:type="dxa"/>
            <w:noWrap w:val="0"/>
            <w:vAlign w:val="center"/>
          </w:tcPr>
          <w:p>
            <w:pPr>
              <w:widowControl/>
              <w:jc w:val="left"/>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6.消防通道保持畅通，无堆物，闭门器完好；检查消防通道照明和安全出口疏散指示灯是否正常。</w:t>
            </w:r>
          </w:p>
        </w:tc>
        <w:tc>
          <w:tcPr>
            <w:tcW w:w="2212" w:type="dxa"/>
            <w:noWrap w:val="0"/>
            <w:vAlign w:val="center"/>
          </w:tcPr>
          <w:p>
            <w:pPr>
              <w:widowControl/>
              <w:jc w:val="left"/>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达不到标准，每项扣1分</w:t>
            </w:r>
          </w:p>
        </w:tc>
        <w:tc>
          <w:tcPr>
            <w:tcW w:w="776" w:type="dxa"/>
            <w:noWrap w:val="0"/>
            <w:vAlign w:val="center"/>
          </w:tcPr>
          <w:p>
            <w:pPr>
              <w:widowControl/>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2</w:t>
            </w:r>
          </w:p>
        </w:tc>
        <w:tc>
          <w:tcPr>
            <w:tcW w:w="686" w:type="dxa"/>
            <w:noWrap w:val="0"/>
            <w:vAlign w:val="center"/>
          </w:tcPr>
          <w:p>
            <w:pPr>
              <w:jc w:val="center"/>
              <w:rPr>
                <w:rFonts w:hint="default" w:ascii="Times New Roman" w:hAnsi="Times New Roman" w:eastAsia="宋体" w:cs="Times New Roman"/>
                <w:color w:val="000000"/>
                <w:sz w:val="21"/>
                <w:szCs w:val="21"/>
              </w:rPr>
            </w:pPr>
          </w:p>
        </w:tc>
        <w:tc>
          <w:tcPr>
            <w:tcW w:w="674" w:type="dxa"/>
            <w:noWrap w:val="0"/>
            <w:vAlign w:val="center"/>
          </w:tcPr>
          <w:p>
            <w:pPr>
              <w:jc w:val="center"/>
              <w:rPr>
                <w:rFonts w:hint="default" w:ascii="Times New Roman" w:hAnsi="Times New Roman" w:eastAsia="宋体" w:cs="Times New Roman"/>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68" w:hRule="atLeast"/>
          <w:jc w:val="center"/>
        </w:trPr>
        <w:tc>
          <w:tcPr>
            <w:tcW w:w="1492" w:type="dxa"/>
            <w:vMerge w:val="restart"/>
            <w:noWrap w:val="0"/>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三、公共工程类（8分）</w:t>
            </w:r>
          </w:p>
          <w:p>
            <w:pPr>
              <w:jc w:val="center"/>
              <w:rPr>
                <w:rFonts w:hint="default" w:ascii="Times New Roman" w:hAnsi="Times New Roman" w:eastAsia="宋体" w:cs="Times New Roman"/>
                <w:color w:val="000000"/>
                <w:sz w:val="21"/>
                <w:szCs w:val="21"/>
              </w:rPr>
            </w:pPr>
          </w:p>
        </w:tc>
        <w:tc>
          <w:tcPr>
            <w:tcW w:w="9588" w:type="dxa"/>
            <w:noWrap w:val="0"/>
            <w:vAlign w:val="center"/>
          </w:tcPr>
          <w:p>
            <w:pPr>
              <w:widowControl/>
              <w:jc w:val="left"/>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1.共用部位、共用设施设备巡查维修记录齐全，并制定大中修计划，发现问题及时处理。楼道墙面干净整洁无脱落，铁艺及木质品保养得当。屋面整洁、无杂物，无明显断裂渗水现象。</w:t>
            </w:r>
          </w:p>
        </w:tc>
        <w:tc>
          <w:tcPr>
            <w:tcW w:w="2212" w:type="dxa"/>
            <w:noWrap w:val="0"/>
            <w:vAlign w:val="center"/>
          </w:tcPr>
          <w:p>
            <w:pPr>
              <w:widowControl/>
              <w:jc w:val="left"/>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达不到标准，每项扣1分</w:t>
            </w:r>
          </w:p>
        </w:tc>
        <w:tc>
          <w:tcPr>
            <w:tcW w:w="776" w:type="dxa"/>
            <w:noWrap w:val="0"/>
            <w:vAlign w:val="center"/>
          </w:tcPr>
          <w:p>
            <w:pPr>
              <w:widowControl/>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3</w:t>
            </w:r>
          </w:p>
        </w:tc>
        <w:tc>
          <w:tcPr>
            <w:tcW w:w="686" w:type="dxa"/>
            <w:noWrap w:val="0"/>
            <w:vAlign w:val="center"/>
          </w:tcPr>
          <w:p>
            <w:pPr>
              <w:jc w:val="center"/>
              <w:rPr>
                <w:rFonts w:hint="default" w:ascii="Times New Roman" w:hAnsi="Times New Roman" w:eastAsia="宋体" w:cs="Times New Roman"/>
                <w:color w:val="000000"/>
                <w:sz w:val="21"/>
                <w:szCs w:val="21"/>
              </w:rPr>
            </w:pPr>
          </w:p>
        </w:tc>
        <w:tc>
          <w:tcPr>
            <w:tcW w:w="674" w:type="dxa"/>
            <w:noWrap w:val="0"/>
            <w:vAlign w:val="center"/>
          </w:tcPr>
          <w:p>
            <w:pPr>
              <w:jc w:val="center"/>
              <w:rPr>
                <w:rFonts w:hint="default" w:ascii="Times New Roman" w:hAnsi="Times New Roman" w:eastAsia="宋体" w:cs="Times New Roman"/>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46" w:hRule="atLeast"/>
          <w:jc w:val="center"/>
        </w:trPr>
        <w:tc>
          <w:tcPr>
            <w:tcW w:w="1492" w:type="dxa"/>
            <w:vMerge w:val="continue"/>
            <w:noWrap w:val="0"/>
            <w:vAlign w:val="center"/>
          </w:tcPr>
          <w:p>
            <w:pPr>
              <w:jc w:val="center"/>
              <w:rPr>
                <w:rFonts w:hint="default" w:ascii="Times New Roman" w:hAnsi="Times New Roman" w:eastAsia="宋体" w:cs="Times New Roman"/>
                <w:color w:val="000000"/>
                <w:sz w:val="21"/>
                <w:szCs w:val="21"/>
              </w:rPr>
            </w:pPr>
          </w:p>
        </w:tc>
        <w:tc>
          <w:tcPr>
            <w:tcW w:w="9588" w:type="dxa"/>
            <w:noWrap w:val="0"/>
            <w:vAlign w:val="center"/>
          </w:tcPr>
          <w:p>
            <w:pPr>
              <w:widowControl/>
              <w:jc w:val="left"/>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2.建筑物外墙装饰材料无起拱、无空鼓、无脱落，无安全隐患。亭、廊、坐椅等休闲、健身设施无严重锈蚀、损坏。</w:t>
            </w:r>
          </w:p>
        </w:tc>
        <w:tc>
          <w:tcPr>
            <w:tcW w:w="2212" w:type="dxa"/>
            <w:noWrap w:val="0"/>
            <w:vAlign w:val="center"/>
          </w:tcPr>
          <w:p>
            <w:pPr>
              <w:widowControl/>
              <w:jc w:val="left"/>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达不到标准，每项扣1分</w:t>
            </w:r>
          </w:p>
        </w:tc>
        <w:tc>
          <w:tcPr>
            <w:tcW w:w="776" w:type="dxa"/>
            <w:noWrap w:val="0"/>
            <w:vAlign w:val="center"/>
          </w:tcPr>
          <w:p>
            <w:pPr>
              <w:widowControl/>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2</w:t>
            </w:r>
          </w:p>
        </w:tc>
        <w:tc>
          <w:tcPr>
            <w:tcW w:w="686" w:type="dxa"/>
            <w:noWrap w:val="0"/>
            <w:vAlign w:val="center"/>
          </w:tcPr>
          <w:p>
            <w:pPr>
              <w:jc w:val="center"/>
              <w:rPr>
                <w:rFonts w:hint="default" w:ascii="Times New Roman" w:hAnsi="Times New Roman" w:eastAsia="宋体" w:cs="Times New Roman"/>
                <w:color w:val="000000"/>
                <w:sz w:val="21"/>
                <w:szCs w:val="21"/>
              </w:rPr>
            </w:pPr>
          </w:p>
        </w:tc>
        <w:tc>
          <w:tcPr>
            <w:tcW w:w="674" w:type="dxa"/>
            <w:noWrap w:val="0"/>
            <w:vAlign w:val="center"/>
          </w:tcPr>
          <w:p>
            <w:pPr>
              <w:jc w:val="center"/>
              <w:rPr>
                <w:rFonts w:hint="default" w:ascii="Times New Roman" w:hAnsi="Times New Roman" w:eastAsia="宋体" w:cs="Times New Roman"/>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04" w:hRule="atLeast"/>
          <w:jc w:val="center"/>
        </w:trPr>
        <w:tc>
          <w:tcPr>
            <w:tcW w:w="1492" w:type="dxa"/>
            <w:vMerge w:val="continue"/>
            <w:noWrap w:val="0"/>
            <w:vAlign w:val="center"/>
          </w:tcPr>
          <w:p>
            <w:pPr>
              <w:jc w:val="center"/>
              <w:rPr>
                <w:rFonts w:hint="default" w:ascii="Times New Roman" w:hAnsi="Times New Roman" w:eastAsia="宋体" w:cs="Times New Roman"/>
                <w:color w:val="000000"/>
                <w:sz w:val="21"/>
                <w:szCs w:val="21"/>
              </w:rPr>
            </w:pPr>
          </w:p>
        </w:tc>
        <w:tc>
          <w:tcPr>
            <w:tcW w:w="9588" w:type="dxa"/>
            <w:noWrap w:val="0"/>
            <w:vAlign w:val="center"/>
          </w:tcPr>
          <w:p>
            <w:pPr>
              <w:widowControl/>
              <w:jc w:val="left"/>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3.道路路面平整，无明显坑洼积水；排水设施完善，井盖无缺损、无丢失，定期清理疏通公共雨、污水管道；地库整洁敞亮，设备、支架安装牢固，排水系统正常。</w:t>
            </w:r>
          </w:p>
        </w:tc>
        <w:tc>
          <w:tcPr>
            <w:tcW w:w="2212" w:type="dxa"/>
            <w:noWrap w:val="0"/>
            <w:vAlign w:val="center"/>
          </w:tcPr>
          <w:p>
            <w:pPr>
              <w:widowControl/>
              <w:jc w:val="left"/>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达不到标准，每项扣1分</w:t>
            </w:r>
          </w:p>
        </w:tc>
        <w:tc>
          <w:tcPr>
            <w:tcW w:w="776" w:type="dxa"/>
            <w:noWrap w:val="0"/>
            <w:vAlign w:val="center"/>
          </w:tcPr>
          <w:p>
            <w:pPr>
              <w:widowControl/>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3</w:t>
            </w:r>
          </w:p>
        </w:tc>
        <w:tc>
          <w:tcPr>
            <w:tcW w:w="686" w:type="dxa"/>
            <w:noWrap w:val="0"/>
            <w:vAlign w:val="center"/>
          </w:tcPr>
          <w:p>
            <w:pPr>
              <w:jc w:val="center"/>
              <w:rPr>
                <w:rFonts w:hint="default" w:ascii="Times New Roman" w:hAnsi="Times New Roman" w:eastAsia="宋体" w:cs="Times New Roman"/>
                <w:color w:val="000000"/>
                <w:sz w:val="21"/>
                <w:szCs w:val="21"/>
              </w:rPr>
            </w:pPr>
          </w:p>
        </w:tc>
        <w:tc>
          <w:tcPr>
            <w:tcW w:w="674" w:type="dxa"/>
            <w:noWrap w:val="0"/>
            <w:vAlign w:val="center"/>
          </w:tcPr>
          <w:p>
            <w:pPr>
              <w:jc w:val="center"/>
              <w:rPr>
                <w:rFonts w:hint="default" w:ascii="Times New Roman" w:hAnsi="Times New Roman" w:eastAsia="宋体" w:cs="Times New Roman"/>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72" w:hRule="atLeast"/>
          <w:jc w:val="center"/>
        </w:trPr>
        <w:tc>
          <w:tcPr>
            <w:tcW w:w="1492" w:type="dxa"/>
            <w:vMerge w:val="restart"/>
            <w:noWrap w:val="0"/>
            <w:vAlign w:val="center"/>
          </w:tcPr>
          <w:p>
            <w:pPr>
              <w:widowControl/>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四、公共秩序维护（5分）</w:t>
            </w:r>
          </w:p>
          <w:p>
            <w:pPr>
              <w:widowControl/>
              <w:textAlignment w:val="center"/>
              <w:rPr>
                <w:rFonts w:hint="default" w:ascii="Times New Roman" w:hAnsi="Times New Roman" w:eastAsia="宋体" w:cs="Times New Roman"/>
                <w:color w:val="000000"/>
                <w:sz w:val="21"/>
                <w:szCs w:val="21"/>
              </w:rPr>
            </w:pPr>
          </w:p>
        </w:tc>
        <w:tc>
          <w:tcPr>
            <w:tcW w:w="9588" w:type="dxa"/>
            <w:noWrap w:val="0"/>
            <w:vAlign w:val="center"/>
          </w:tcPr>
          <w:p>
            <w:pPr>
              <w:widowControl/>
              <w:jc w:val="left"/>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1.小区保安人员配置到位，佩戴统一标识，穿戴统一服装，举止文明，行为规范。</w:t>
            </w:r>
          </w:p>
        </w:tc>
        <w:tc>
          <w:tcPr>
            <w:tcW w:w="2212" w:type="dxa"/>
            <w:noWrap w:val="0"/>
            <w:vAlign w:val="center"/>
          </w:tcPr>
          <w:p>
            <w:pPr>
              <w:widowControl/>
              <w:jc w:val="left"/>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发现一处不符合扣0.5分</w:t>
            </w:r>
          </w:p>
        </w:tc>
        <w:tc>
          <w:tcPr>
            <w:tcW w:w="776" w:type="dxa"/>
            <w:noWrap w:val="0"/>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2</w:t>
            </w:r>
          </w:p>
        </w:tc>
        <w:tc>
          <w:tcPr>
            <w:tcW w:w="686" w:type="dxa"/>
            <w:noWrap w:val="0"/>
            <w:vAlign w:val="center"/>
          </w:tcPr>
          <w:p>
            <w:pPr>
              <w:jc w:val="center"/>
              <w:rPr>
                <w:rFonts w:hint="default" w:ascii="Times New Roman" w:hAnsi="Times New Roman" w:eastAsia="宋体" w:cs="Times New Roman"/>
                <w:color w:val="000000"/>
                <w:sz w:val="21"/>
                <w:szCs w:val="21"/>
              </w:rPr>
            </w:pPr>
          </w:p>
        </w:tc>
        <w:tc>
          <w:tcPr>
            <w:tcW w:w="674" w:type="dxa"/>
            <w:noWrap w:val="0"/>
            <w:vAlign w:val="center"/>
          </w:tcPr>
          <w:p>
            <w:pPr>
              <w:jc w:val="center"/>
              <w:rPr>
                <w:rFonts w:hint="default" w:ascii="Times New Roman" w:hAnsi="Times New Roman" w:eastAsia="宋体" w:cs="Times New Roman"/>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27" w:hRule="atLeast"/>
          <w:jc w:val="center"/>
        </w:trPr>
        <w:tc>
          <w:tcPr>
            <w:tcW w:w="1492" w:type="dxa"/>
            <w:vMerge w:val="continue"/>
            <w:noWrap w:val="0"/>
            <w:vAlign w:val="center"/>
          </w:tcPr>
          <w:p>
            <w:pPr>
              <w:jc w:val="center"/>
              <w:rPr>
                <w:rFonts w:hint="default" w:ascii="Times New Roman" w:hAnsi="Times New Roman" w:eastAsia="宋体" w:cs="Times New Roman"/>
                <w:color w:val="000000"/>
                <w:sz w:val="21"/>
                <w:szCs w:val="21"/>
              </w:rPr>
            </w:pPr>
          </w:p>
        </w:tc>
        <w:tc>
          <w:tcPr>
            <w:tcW w:w="9588" w:type="dxa"/>
            <w:noWrap w:val="0"/>
            <w:vAlign w:val="center"/>
          </w:tcPr>
          <w:p>
            <w:pPr>
              <w:widowControl/>
              <w:jc w:val="left"/>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2.对车辆进行有效管理和疏导，车辆停放有序。有定时巡逻、人员车辆进出管控记录。</w:t>
            </w:r>
          </w:p>
        </w:tc>
        <w:tc>
          <w:tcPr>
            <w:tcW w:w="2212" w:type="dxa"/>
            <w:noWrap w:val="0"/>
            <w:vAlign w:val="center"/>
          </w:tcPr>
          <w:p>
            <w:pPr>
              <w:widowControl/>
              <w:jc w:val="left"/>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发现一处不符合扣0.5分</w:t>
            </w:r>
          </w:p>
        </w:tc>
        <w:tc>
          <w:tcPr>
            <w:tcW w:w="776" w:type="dxa"/>
            <w:noWrap w:val="0"/>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w:t>
            </w:r>
          </w:p>
        </w:tc>
        <w:tc>
          <w:tcPr>
            <w:tcW w:w="686" w:type="dxa"/>
            <w:noWrap w:val="0"/>
            <w:vAlign w:val="center"/>
          </w:tcPr>
          <w:p>
            <w:pPr>
              <w:jc w:val="center"/>
              <w:rPr>
                <w:rFonts w:hint="default" w:ascii="Times New Roman" w:hAnsi="Times New Roman" w:eastAsia="宋体" w:cs="Times New Roman"/>
                <w:color w:val="000000"/>
                <w:sz w:val="21"/>
                <w:szCs w:val="21"/>
              </w:rPr>
            </w:pPr>
          </w:p>
        </w:tc>
        <w:tc>
          <w:tcPr>
            <w:tcW w:w="674" w:type="dxa"/>
            <w:noWrap w:val="0"/>
            <w:vAlign w:val="center"/>
          </w:tcPr>
          <w:p>
            <w:pPr>
              <w:jc w:val="center"/>
              <w:rPr>
                <w:rFonts w:hint="default" w:ascii="Times New Roman" w:hAnsi="Times New Roman" w:eastAsia="宋体" w:cs="Times New Roman"/>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72" w:hRule="atLeast"/>
          <w:jc w:val="center"/>
        </w:trPr>
        <w:tc>
          <w:tcPr>
            <w:tcW w:w="1492" w:type="dxa"/>
            <w:vMerge w:val="continue"/>
            <w:noWrap w:val="0"/>
            <w:vAlign w:val="center"/>
          </w:tcPr>
          <w:p>
            <w:pPr>
              <w:jc w:val="center"/>
              <w:rPr>
                <w:rFonts w:hint="default" w:ascii="Times New Roman" w:hAnsi="Times New Roman" w:eastAsia="宋体" w:cs="Times New Roman"/>
                <w:color w:val="000000"/>
                <w:sz w:val="21"/>
                <w:szCs w:val="21"/>
              </w:rPr>
            </w:pPr>
          </w:p>
        </w:tc>
        <w:tc>
          <w:tcPr>
            <w:tcW w:w="9588" w:type="dxa"/>
            <w:noWrap w:val="0"/>
            <w:vAlign w:val="center"/>
          </w:tcPr>
          <w:p>
            <w:pPr>
              <w:widowControl/>
              <w:jc w:val="left"/>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3.门岗及监控室内均有值守人员，无空岗、睡岗现象。</w:t>
            </w:r>
          </w:p>
        </w:tc>
        <w:tc>
          <w:tcPr>
            <w:tcW w:w="2212" w:type="dxa"/>
            <w:noWrap w:val="0"/>
            <w:vAlign w:val="center"/>
          </w:tcPr>
          <w:p>
            <w:pPr>
              <w:widowControl/>
              <w:jc w:val="left"/>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达不到标准，扣1分</w:t>
            </w:r>
          </w:p>
        </w:tc>
        <w:tc>
          <w:tcPr>
            <w:tcW w:w="776" w:type="dxa"/>
            <w:noWrap w:val="0"/>
            <w:vAlign w:val="center"/>
          </w:tcPr>
          <w:p>
            <w:pPr>
              <w:widowControl/>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1</w:t>
            </w:r>
          </w:p>
        </w:tc>
        <w:tc>
          <w:tcPr>
            <w:tcW w:w="686" w:type="dxa"/>
            <w:noWrap w:val="0"/>
            <w:vAlign w:val="center"/>
          </w:tcPr>
          <w:p>
            <w:pPr>
              <w:jc w:val="center"/>
              <w:rPr>
                <w:rFonts w:hint="default" w:ascii="Times New Roman" w:hAnsi="Times New Roman" w:eastAsia="宋体" w:cs="Times New Roman"/>
                <w:color w:val="000000"/>
                <w:sz w:val="21"/>
                <w:szCs w:val="21"/>
              </w:rPr>
            </w:pPr>
          </w:p>
        </w:tc>
        <w:tc>
          <w:tcPr>
            <w:tcW w:w="674" w:type="dxa"/>
            <w:noWrap w:val="0"/>
            <w:vAlign w:val="center"/>
          </w:tcPr>
          <w:p>
            <w:pPr>
              <w:jc w:val="center"/>
              <w:rPr>
                <w:rFonts w:hint="default" w:ascii="Times New Roman" w:hAnsi="Times New Roman" w:eastAsia="宋体" w:cs="Times New Roman"/>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14" w:hRule="atLeast"/>
          <w:jc w:val="center"/>
        </w:trPr>
        <w:tc>
          <w:tcPr>
            <w:tcW w:w="1492" w:type="dxa"/>
            <w:vMerge w:val="restart"/>
            <w:noWrap w:val="0"/>
            <w:vAlign w:val="center"/>
          </w:tcPr>
          <w:p>
            <w:pPr>
              <w:widowControl/>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五、绿化养护（5分）</w:t>
            </w:r>
          </w:p>
          <w:p>
            <w:pPr>
              <w:widowControl/>
              <w:textAlignment w:val="center"/>
              <w:rPr>
                <w:rFonts w:hint="default" w:ascii="Times New Roman" w:hAnsi="Times New Roman" w:eastAsia="宋体" w:cs="Times New Roman"/>
                <w:color w:val="000000"/>
                <w:kern w:val="0"/>
                <w:sz w:val="21"/>
                <w:szCs w:val="21"/>
              </w:rPr>
            </w:pPr>
          </w:p>
        </w:tc>
        <w:tc>
          <w:tcPr>
            <w:tcW w:w="9588" w:type="dxa"/>
            <w:noWrap w:val="0"/>
            <w:vAlign w:val="center"/>
          </w:tcPr>
          <w:p>
            <w:pPr>
              <w:widowControl/>
              <w:jc w:val="left"/>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1.按工作计划定期开展养护、消杀工作，定期做好修剪、除草、除虫，并做好台账；无白色垃圾；各类乔、灌、草等植物长势良好，修剪整齐美观，无折损，无病虫害、斑秃现象。</w:t>
            </w:r>
          </w:p>
        </w:tc>
        <w:tc>
          <w:tcPr>
            <w:tcW w:w="2212" w:type="dxa"/>
            <w:noWrap w:val="0"/>
            <w:vAlign w:val="center"/>
          </w:tcPr>
          <w:p>
            <w:pPr>
              <w:widowControl/>
              <w:jc w:val="left"/>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达不到标准，每项扣1分</w:t>
            </w:r>
          </w:p>
        </w:tc>
        <w:tc>
          <w:tcPr>
            <w:tcW w:w="776" w:type="dxa"/>
            <w:noWrap w:val="0"/>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3</w:t>
            </w:r>
          </w:p>
        </w:tc>
        <w:tc>
          <w:tcPr>
            <w:tcW w:w="686" w:type="dxa"/>
            <w:noWrap w:val="0"/>
            <w:vAlign w:val="center"/>
          </w:tcPr>
          <w:p>
            <w:pPr>
              <w:jc w:val="center"/>
              <w:rPr>
                <w:rFonts w:hint="default" w:ascii="Times New Roman" w:hAnsi="Times New Roman" w:eastAsia="宋体" w:cs="Times New Roman"/>
                <w:color w:val="000000"/>
                <w:sz w:val="21"/>
                <w:szCs w:val="21"/>
              </w:rPr>
            </w:pPr>
          </w:p>
        </w:tc>
        <w:tc>
          <w:tcPr>
            <w:tcW w:w="674" w:type="dxa"/>
            <w:noWrap w:val="0"/>
            <w:vAlign w:val="center"/>
          </w:tcPr>
          <w:p>
            <w:pPr>
              <w:jc w:val="center"/>
              <w:rPr>
                <w:rFonts w:hint="default" w:ascii="Times New Roman" w:hAnsi="Times New Roman" w:eastAsia="宋体" w:cs="Times New Roman"/>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492" w:type="dxa"/>
            <w:vMerge w:val="continue"/>
            <w:noWrap w:val="0"/>
            <w:vAlign w:val="center"/>
          </w:tcPr>
          <w:p>
            <w:pPr>
              <w:widowControl/>
              <w:textAlignment w:val="center"/>
              <w:rPr>
                <w:rFonts w:hint="default" w:ascii="Times New Roman" w:hAnsi="Times New Roman" w:eastAsia="宋体" w:cs="Times New Roman"/>
                <w:color w:val="000000"/>
                <w:kern w:val="0"/>
                <w:sz w:val="21"/>
                <w:szCs w:val="21"/>
              </w:rPr>
            </w:pPr>
          </w:p>
        </w:tc>
        <w:tc>
          <w:tcPr>
            <w:tcW w:w="9588" w:type="dxa"/>
            <w:noWrap w:val="0"/>
            <w:vAlign w:val="center"/>
          </w:tcPr>
          <w:p>
            <w:pPr>
              <w:widowControl/>
              <w:jc w:val="left"/>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2.绿地无破坏、践踏、占用现象，树木无悬挂物及晾晒物品，无毁绿种菜、车辆停放绿化带或占用现象。</w:t>
            </w:r>
          </w:p>
        </w:tc>
        <w:tc>
          <w:tcPr>
            <w:tcW w:w="2212" w:type="dxa"/>
            <w:noWrap w:val="0"/>
            <w:vAlign w:val="center"/>
          </w:tcPr>
          <w:p>
            <w:pPr>
              <w:widowControl/>
              <w:jc w:val="left"/>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达不到标准，每项扣1分</w:t>
            </w:r>
          </w:p>
        </w:tc>
        <w:tc>
          <w:tcPr>
            <w:tcW w:w="776" w:type="dxa"/>
            <w:noWrap w:val="0"/>
            <w:vAlign w:val="center"/>
          </w:tcPr>
          <w:p>
            <w:pPr>
              <w:widowControl/>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2</w:t>
            </w:r>
          </w:p>
        </w:tc>
        <w:tc>
          <w:tcPr>
            <w:tcW w:w="686" w:type="dxa"/>
            <w:noWrap w:val="0"/>
            <w:vAlign w:val="center"/>
          </w:tcPr>
          <w:p>
            <w:pPr>
              <w:jc w:val="center"/>
              <w:rPr>
                <w:rFonts w:hint="default" w:ascii="Times New Roman" w:hAnsi="Times New Roman" w:eastAsia="宋体" w:cs="Times New Roman"/>
                <w:color w:val="000000"/>
                <w:sz w:val="21"/>
                <w:szCs w:val="21"/>
              </w:rPr>
            </w:pPr>
          </w:p>
        </w:tc>
        <w:tc>
          <w:tcPr>
            <w:tcW w:w="674" w:type="dxa"/>
            <w:noWrap w:val="0"/>
            <w:vAlign w:val="center"/>
          </w:tcPr>
          <w:p>
            <w:pPr>
              <w:jc w:val="center"/>
              <w:rPr>
                <w:rFonts w:hint="default" w:ascii="Times New Roman" w:hAnsi="Times New Roman" w:eastAsia="宋体" w:cs="Times New Roman"/>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492" w:type="dxa"/>
            <w:vMerge w:val="restart"/>
            <w:noWrap w:val="0"/>
            <w:vAlign w:val="center"/>
          </w:tcPr>
          <w:p>
            <w:pP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六、环境卫生</w:t>
            </w:r>
            <w:r>
              <w:rPr>
                <w:rFonts w:hint="default" w:ascii="Times New Roman" w:hAnsi="Times New Roman" w:eastAsia="宋体" w:cs="Times New Roman"/>
                <w:color w:val="000000"/>
                <w:sz w:val="21"/>
                <w:szCs w:val="21"/>
              </w:rPr>
              <w:t>（8分）</w:t>
            </w:r>
          </w:p>
          <w:p>
            <w:pPr>
              <w:rPr>
                <w:rFonts w:hint="default" w:ascii="Times New Roman" w:hAnsi="Times New Roman" w:eastAsia="宋体" w:cs="Times New Roman"/>
                <w:color w:val="000000"/>
                <w:sz w:val="21"/>
                <w:szCs w:val="21"/>
              </w:rPr>
            </w:pPr>
          </w:p>
        </w:tc>
        <w:tc>
          <w:tcPr>
            <w:tcW w:w="9588" w:type="dxa"/>
            <w:noWrap w:val="0"/>
            <w:vAlign w:val="center"/>
          </w:tcPr>
          <w:p>
            <w:pPr>
              <w:widowControl/>
              <w:jc w:val="left"/>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1.门卫室、监控室物品摆放整齐，干净整洁，无乱堆乱放，无乱拉电线；秩序维护器具按要求放置。</w:t>
            </w:r>
          </w:p>
        </w:tc>
        <w:tc>
          <w:tcPr>
            <w:tcW w:w="2212" w:type="dxa"/>
            <w:noWrap w:val="0"/>
            <w:vAlign w:val="center"/>
          </w:tcPr>
          <w:p>
            <w:pPr>
              <w:widowControl/>
              <w:jc w:val="left"/>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达不到标准，每项扣1分</w:t>
            </w:r>
          </w:p>
        </w:tc>
        <w:tc>
          <w:tcPr>
            <w:tcW w:w="776" w:type="dxa"/>
            <w:noWrap w:val="0"/>
            <w:vAlign w:val="center"/>
          </w:tcPr>
          <w:p>
            <w:pPr>
              <w:widowControl/>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2</w:t>
            </w:r>
          </w:p>
        </w:tc>
        <w:tc>
          <w:tcPr>
            <w:tcW w:w="686" w:type="dxa"/>
            <w:noWrap w:val="0"/>
            <w:vAlign w:val="center"/>
          </w:tcPr>
          <w:p>
            <w:pPr>
              <w:jc w:val="center"/>
              <w:rPr>
                <w:rFonts w:hint="default" w:ascii="Times New Roman" w:hAnsi="Times New Roman" w:eastAsia="宋体" w:cs="Times New Roman"/>
                <w:color w:val="000000"/>
                <w:sz w:val="21"/>
                <w:szCs w:val="21"/>
              </w:rPr>
            </w:pPr>
          </w:p>
        </w:tc>
        <w:tc>
          <w:tcPr>
            <w:tcW w:w="674" w:type="dxa"/>
            <w:noWrap w:val="0"/>
            <w:vAlign w:val="center"/>
          </w:tcPr>
          <w:p>
            <w:pPr>
              <w:jc w:val="center"/>
              <w:rPr>
                <w:rFonts w:hint="default" w:ascii="Times New Roman" w:hAnsi="Times New Roman" w:eastAsia="宋体" w:cs="Times New Roman"/>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92" w:hRule="atLeast"/>
          <w:jc w:val="center"/>
        </w:trPr>
        <w:tc>
          <w:tcPr>
            <w:tcW w:w="1492" w:type="dxa"/>
            <w:vMerge w:val="continue"/>
            <w:noWrap w:val="0"/>
            <w:vAlign w:val="center"/>
          </w:tcPr>
          <w:p>
            <w:pPr>
              <w:jc w:val="center"/>
              <w:rPr>
                <w:rFonts w:hint="default" w:ascii="Times New Roman" w:hAnsi="Times New Roman" w:eastAsia="宋体" w:cs="Times New Roman"/>
                <w:color w:val="000000"/>
                <w:sz w:val="21"/>
                <w:szCs w:val="21"/>
              </w:rPr>
            </w:pPr>
          </w:p>
        </w:tc>
        <w:tc>
          <w:tcPr>
            <w:tcW w:w="9588" w:type="dxa"/>
            <w:noWrap w:val="0"/>
            <w:vAlign w:val="center"/>
          </w:tcPr>
          <w:p>
            <w:pPr>
              <w:widowControl/>
              <w:jc w:val="left"/>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2.小区环境绿化美化，卫生状况良好，无乱扔垃圾、随地吐痰、乱晾晒现象。路面无宠物粪便，楼道无明显灰尘、蜘蛛网等。楼梯扶手、栏杆、窗台、防火门、消防栓、指示牌等无灰尘、污物。</w:t>
            </w:r>
          </w:p>
        </w:tc>
        <w:tc>
          <w:tcPr>
            <w:tcW w:w="2212" w:type="dxa"/>
            <w:noWrap w:val="0"/>
            <w:vAlign w:val="center"/>
          </w:tcPr>
          <w:p>
            <w:pPr>
              <w:widowControl/>
              <w:jc w:val="left"/>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达不到标准，每项扣0.5分</w:t>
            </w:r>
          </w:p>
        </w:tc>
        <w:tc>
          <w:tcPr>
            <w:tcW w:w="776" w:type="dxa"/>
            <w:noWrap w:val="0"/>
            <w:vAlign w:val="center"/>
          </w:tcPr>
          <w:p>
            <w:pPr>
              <w:widowControl/>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2</w:t>
            </w:r>
          </w:p>
        </w:tc>
        <w:tc>
          <w:tcPr>
            <w:tcW w:w="686" w:type="dxa"/>
            <w:noWrap w:val="0"/>
            <w:vAlign w:val="center"/>
          </w:tcPr>
          <w:p>
            <w:pPr>
              <w:jc w:val="center"/>
              <w:rPr>
                <w:rFonts w:hint="default" w:ascii="Times New Roman" w:hAnsi="Times New Roman" w:eastAsia="宋体" w:cs="Times New Roman"/>
                <w:color w:val="000000"/>
                <w:sz w:val="21"/>
                <w:szCs w:val="21"/>
              </w:rPr>
            </w:pPr>
          </w:p>
        </w:tc>
        <w:tc>
          <w:tcPr>
            <w:tcW w:w="674" w:type="dxa"/>
            <w:noWrap w:val="0"/>
            <w:vAlign w:val="center"/>
          </w:tcPr>
          <w:p>
            <w:pPr>
              <w:jc w:val="center"/>
              <w:rPr>
                <w:rFonts w:hint="default" w:ascii="Times New Roman" w:hAnsi="Times New Roman" w:eastAsia="宋体" w:cs="Times New Roman"/>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92" w:hRule="atLeast"/>
          <w:jc w:val="center"/>
        </w:trPr>
        <w:tc>
          <w:tcPr>
            <w:tcW w:w="1492" w:type="dxa"/>
            <w:vMerge w:val="continue"/>
            <w:noWrap w:val="0"/>
            <w:vAlign w:val="center"/>
          </w:tcPr>
          <w:p>
            <w:pPr>
              <w:jc w:val="center"/>
              <w:rPr>
                <w:rFonts w:hint="default" w:ascii="Times New Roman" w:hAnsi="Times New Roman" w:eastAsia="宋体" w:cs="Times New Roman"/>
                <w:color w:val="000000"/>
                <w:sz w:val="21"/>
                <w:szCs w:val="21"/>
              </w:rPr>
            </w:pPr>
          </w:p>
        </w:tc>
        <w:tc>
          <w:tcPr>
            <w:tcW w:w="9588" w:type="dxa"/>
            <w:noWrap w:val="0"/>
            <w:vAlign w:val="center"/>
          </w:tcPr>
          <w:p>
            <w:pPr>
              <w:widowControl/>
              <w:jc w:val="left"/>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3.生活垃圾定点投放、分类收集，垃圾房、箱（桶）完好、整洁。垃圾站/桶/箱/果壳箱外无散落溢出垃圾。生活垃圾清运承诺服务时间应设置在分类房（亭）墙面等醒目位置。小区主要出入口设置有害垃圾回收点。</w:t>
            </w:r>
          </w:p>
        </w:tc>
        <w:tc>
          <w:tcPr>
            <w:tcW w:w="2212" w:type="dxa"/>
            <w:noWrap w:val="0"/>
            <w:vAlign w:val="center"/>
          </w:tcPr>
          <w:p>
            <w:pPr>
              <w:widowControl/>
              <w:jc w:val="left"/>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达不到标准，每项扣0.5分</w:t>
            </w:r>
          </w:p>
        </w:tc>
        <w:tc>
          <w:tcPr>
            <w:tcW w:w="776" w:type="dxa"/>
            <w:noWrap w:val="0"/>
            <w:vAlign w:val="center"/>
          </w:tcPr>
          <w:p>
            <w:pPr>
              <w:widowControl/>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2</w:t>
            </w:r>
          </w:p>
        </w:tc>
        <w:tc>
          <w:tcPr>
            <w:tcW w:w="686" w:type="dxa"/>
            <w:noWrap w:val="0"/>
            <w:vAlign w:val="center"/>
          </w:tcPr>
          <w:p>
            <w:pPr>
              <w:jc w:val="center"/>
              <w:rPr>
                <w:rFonts w:hint="default" w:ascii="Times New Roman" w:hAnsi="Times New Roman" w:eastAsia="宋体" w:cs="Times New Roman"/>
                <w:color w:val="000000"/>
                <w:sz w:val="21"/>
                <w:szCs w:val="21"/>
              </w:rPr>
            </w:pPr>
          </w:p>
        </w:tc>
        <w:tc>
          <w:tcPr>
            <w:tcW w:w="674" w:type="dxa"/>
            <w:noWrap w:val="0"/>
            <w:vAlign w:val="center"/>
          </w:tcPr>
          <w:p>
            <w:pPr>
              <w:jc w:val="center"/>
              <w:rPr>
                <w:rFonts w:hint="default" w:ascii="Times New Roman" w:hAnsi="Times New Roman" w:eastAsia="宋体" w:cs="Times New Roman"/>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92" w:hRule="atLeast"/>
          <w:jc w:val="center"/>
        </w:trPr>
        <w:tc>
          <w:tcPr>
            <w:tcW w:w="1492" w:type="dxa"/>
            <w:vMerge w:val="continue"/>
            <w:noWrap w:val="0"/>
            <w:vAlign w:val="center"/>
          </w:tcPr>
          <w:p>
            <w:pPr>
              <w:jc w:val="center"/>
              <w:rPr>
                <w:rFonts w:hint="default" w:ascii="Times New Roman" w:hAnsi="Times New Roman" w:eastAsia="宋体" w:cs="Times New Roman"/>
                <w:color w:val="000000"/>
                <w:sz w:val="21"/>
                <w:szCs w:val="21"/>
              </w:rPr>
            </w:pPr>
          </w:p>
        </w:tc>
        <w:tc>
          <w:tcPr>
            <w:tcW w:w="9588" w:type="dxa"/>
            <w:noWrap w:val="0"/>
            <w:vAlign w:val="center"/>
          </w:tcPr>
          <w:p>
            <w:pPr>
              <w:widowControl/>
              <w:jc w:val="left"/>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4.物业管理办公室：物品摆放整齐，环境保持干净整洁，无吸烟现象（无烟缸及烟蒂），有禁烟控烟宣传。</w:t>
            </w:r>
          </w:p>
        </w:tc>
        <w:tc>
          <w:tcPr>
            <w:tcW w:w="2212" w:type="dxa"/>
            <w:noWrap w:val="0"/>
            <w:vAlign w:val="center"/>
          </w:tcPr>
          <w:p>
            <w:pPr>
              <w:widowControl/>
              <w:jc w:val="left"/>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达不到标准，扣1分</w:t>
            </w:r>
          </w:p>
        </w:tc>
        <w:tc>
          <w:tcPr>
            <w:tcW w:w="776" w:type="dxa"/>
            <w:noWrap w:val="0"/>
            <w:vAlign w:val="center"/>
          </w:tcPr>
          <w:p>
            <w:pPr>
              <w:widowControl/>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1</w:t>
            </w:r>
          </w:p>
        </w:tc>
        <w:tc>
          <w:tcPr>
            <w:tcW w:w="686" w:type="dxa"/>
            <w:noWrap w:val="0"/>
            <w:vAlign w:val="center"/>
          </w:tcPr>
          <w:p>
            <w:pPr>
              <w:jc w:val="center"/>
              <w:rPr>
                <w:rFonts w:hint="default" w:ascii="Times New Roman" w:hAnsi="Times New Roman" w:eastAsia="宋体" w:cs="Times New Roman"/>
                <w:color w:val="000000"/>
                <w:sz w:val="21"/>
                <w:szCs w:val="21"/>
              </w:rPr>
            </w:pPr>
          </w:p>
        </w:tc>
        <w:tc>
          <w:tcPr>
            <w:tcW w:w="674" w:type="dxa"/>
            <w:noWrap w:val="0"/>
            <w:vAlign w:val="center"/>
          </w:tcPr>
          <w:p>
            <w:pPr>
              <w:jc w:val="center"/>
              <w:rPr>
                <w:rFonts w:hint="default" w:ascii="Times New Roman" w:hAnsi="Times New Roman" w:eastAsia="宋体" w:cs="Times New Roman"/>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92" w:hRule="atLeast"/>
          <w:jc w:val="center"/>
        </w:trPr>
        <w:tc>
          <w:tcPr>
            <w:tcW w:w="1492" w:type="dxa"/>
            <w:vMerge w:val="continue"/>
            <w:noWrap w:val="0"/>
            <w:vAlign w:val="center"/>
          </w:tcPr>
          <w:p>
            <w:pPr>
              <w:jc w:val="center"/>
              <w:rPr>
                <w:rFonts w:hint="default" w:ascii="Times New Roman" w:hAnsi="Times New Roman" w:eastAsia="宋体" w:cs="Times New Roman"/>
                <w:color w:val="000000"/>
                <w:sz w:val="21"/>
                <w:szCs w:val="21"/>
              </w:rPr>
            </w:pPr>
          </w:p>
        </w:tc>
        <w:tc>
          <w:tcPr>
            <w:tcW w:w="9588" w:type="dxa"/>
            <w:noWrap w:val="0"/>
            <w:vAlign w:val="center"/>
          </w:tcPr>
          <w:p>
            <w:pPr>
              <w:widowControl/>
              <w:jc w:val="left"/>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5.住宅小区内公共厕所（含物业用房、会所等物业公司负责的卫生间）应保持洁厕内外环境良好，厕内干净整洁、厕位内污物清理及时，管理保洁等制度上墙公示，各类设施设备完好，有专人负责保洁管理。</w:t>
            </w:r>
          </w:p>
        </w:tc>
        <w:tc>
          <w:tcPr>
            <w:tcW w:w="2212" w:type="dxa"/>
            <w:noWrap w:val="0"/>
            <w:vAlign w:val="center"/>
          </w:tcPr>
          <w:p>
            <w:pPr>
              <w:widowControl/>
              <w:jc w:val="left"/>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达不到标准，扣1分</w:t>
            </w:r>
          </w:p>
        </w:tc>
        <w:tc>
          <w:tcPr>
            <w:tcW w:w="776" w:type="dxa"/>
            <w:noWrap w:val="0"/>
            <w:vAlign w:val="center"/>
          </w:tcPr>
          <w:p>
            <w:pPr>
              <w:widowControl/>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1</w:t>
            </w:r>
          </w:p>
        </w:tc>
        <w:tc>
          <w:tcPr>
            <w:tcW w:w="686" w:type="dxa"/>
            <w:noWrap w:val="0"/>
            <w:vAlign w:val="center"/>
          </w:tcPr>
          <w:p>
            <w:pPr>
              <w:jc w:val="center"/>
              <w:rPr>
                <w:rFonts w:hint="default" w:ascii="Times New Roman" w:hAnsi="Times New Roman" w:eastAsia="宋体" w:cs="Times New Roman"/>
                <w:color w:val="000000"/>
                <w:sz w:val="21"/>
                <w:szCs w:val="21"/>
              </w:rPr>
            </w:pPr>
          </w:p>
        </w:tc>
        <w:tc>
          <w:tcPr>
            <w:tcW w:w="674" w:type="dxa"/>
            <w:noWrap w:val="0"/>
            <w:vAlign w:val="center"/>
          </w:tcPr>
          <w:p>
            <w:pPr>
              <w:jc w:val="center"/>
              <w:rPr>
                <w:rFonts w:hint="default" w:ascii="Times New Roman" w:hAnsi="Times New Roman" w:eastAsia="宋体" w:cs="Times New Roman"/>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88" w:hRule="atLeast"/>
          <w:jc w:val="center"/>
        </w:trPr>
        <w:tc>
          <w:tcPr>
            <w:tcW w:w="1492" w:type="dxa"/>
            <w:noWrap w:val="0"/>
            <w:vAlign w:val="center"/>
          </w:tcPr>
          <w:p>
            <w:pPr>
              <w:widowControl/>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sz w:val="21"/>
                <w:szCs w:val="21"/>
              </w:rPr>
              <w:t>七、杜绝“高空抛物”专项整治</w:t>
            </w:r>
            <w:r>
              <w:rPr>
                <w:rFonts w:hint="default" w:ascii="Times New Roman" w:hAnsi="Times New Roman" w:eastAsia="宋体" w:cs="Times New Roman"/>
                <w:color w:val="000000"/>
                <w:kern w:val="0"/>
                <w:sz w:val="21"/>
                <w:szCs w:val="21"/>
              </w:rPr>
              <w:t>（2分）</w:t>
            </w:r>
          </w:p>
        </w:tc>
        <w:tc>
          <w:tcPr>
            <w:tcW w:w="9588" w:type="dxa"/>
            <w:noWrap w:val="0"/>
            <w:vAlign w:val="center"/>
          </w:tcPr>
          <w:p>
            <w:pPr>
              <w:widowControl/>
              <w:jc w:val="left"/>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积极开展高空抛物专项宣传（有相关台账）。及时制止小区内的高空抛物现象，同时做好违规信息采集工作，做好记录（包括违规时间、楼栋号、室（户）号、违规人姓名、违规内容、违规次数等。</w:t>
            </w:r>
          </w:p>
        </w:tc>
        <w:tc>
          <w:tcPr>
            <w:tcW w:w="2212" w:type="dxa"/>
            <w:noWrap w:val="0"/>
            <w:vAlign w:val="center"/>
          </w:tcPr>
          <w:p>
            <w:pPr>
              <w:widowControl/>
              <w:jc w:val="left"/>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无宣传，扣1分。无制止台账，扣1分</w:t>
            </w:r>
          </w:p>
        </w:tc>
        <w:tc>
          <w:tcPr>
            <w:tcW w:w="776" w:type="dxa"/>
            <w:noWrap w:val="0"/>
            <w:vAlign w:val="center"/>
          </w:tcPr>
          <w:p>
            <w:pPr>
              <w:widowControl/>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2</w:t>
            </w:r>
          </w:p>
        </w:tc>
        <w:tc>
          <w:tcPr>
            <w:tcW w:w="686" w:type="dxa"/>
            <w:noWrap w:val="0"/>
            <w:vAlign w:val="center"/>
          </w:tcPr>
          <w:p>
            <w:pPr>
              <w:jc w:val="center"/>
              <w:rPr>
                <w:rFonts w:hint="default" w:ascii="Times New Roman" w:hAnsi="Times New Roman" w:eastAsia="宋体" w:cs="Times New Roman"/>
                <w:color w:val="000000"/>
                <w:sz w:val="21"/>
                <w:szCs w:val="21"/>
              </w:rPr>
            </w:pPr>
          </w:p>
        </w:tc>
        <w:tc>
          <w:tcPr>
            <w:tcW w:w="674" w:type="dxa"/>
            <w:noWrap w:val="0"/>
            <w:vAlign w:val="center"/>
          </w:tcPr>
          <w:p>
            <w:pPr>
              <w:jc w:val="center"/>
              <w:rPr>
                <w:rFonts w:hint="default" w:ascii="Times New Roman" w:hAnsi="Times New Roman" w:eastAsia="宋体" w:cs="Times New Roman"/>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04" w:hRule="atLeast"/>
          <w:jc w:val="center"/>
        </w:trPr>
        <w:tc>
          <w:tcPr>
            <w:tcW w:w="1492" w:type="dxa"/>
            <w:vMerge w:val="restart"/>
            <w:noWrap w:val="0"/>
            <w:vAlign w:val="center"/>
          </w:tcPr>
          <w:p>
            <w:pP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八、“331”专项整治（4分）</w:t>
            </w:r>
          </w:p>
          <w:p>
            <w:pPr>
              <w:rPr>
                <w:rFonts w:hint="default" w:ascii="Times New Roman" w:hAnsi="Times New Roman" w:eastAsia="宋体" w:cs="Times New Roman"/>
                <w:color w:val="000000"/>
                <w:sz w:val="21"/>
                <w:szCs w:val="21"/>
              </w:rPr>
            </w:pPr>
          </w:p>
        </w:tc>
        <w:tc>
          <w:tcPr>
            <w:tcW w:w="9588" w:type="dxa"/>
            <w:noWrap w:val="0"/>
            <w:vAlign w:val="center"/>
          </w:tcPr>
          <w:p>
            <w:pPr>
              <w:widowControl/>
              <w:jc w:val="left"/>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1.配合区镇，社区或相关机构开展的房屋租赁巡查、私拉乱接、电动自行车专项治理，定期开展防火检查巡查和消防宣传教育。</w:t>
            </w:r>
          </w:p>
        </w:tc>
        <w:tc>
          <w:tcPr>
            <w:tcW w:w="2212" w:type="dxa"/>
            <w:noWrap w:val="0"/>
            <w:vAlign w:val="center"/>
          </w:tcPr>
          <w:p>
            <w:pPr>
              <w:widowControl/>
              <w:jc w:val="left"/>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达不到标准，每项扣0.5分</w:t>
            </w:r>
          </w:p>
        </w:tc>
        <w:tc>
          <w:tcPr>
            <w:tcW w:w="776" w:type="dxa"/>
            <w:noWrap w:val="0"/>
            <w:vAlign w:val="center"/>
          </w:tcPr>
          <w:p>
            <w:pPr>
              <w:widowControl/>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2</w:t>
            </w:r>
          </w:p>
        </w:tc>
        <w:tc>
          <w:tcPr>
            <w:tcW w:w="686" w:type="dxa"/>
            <w:noWrap w:val="0"/>
            <w:vAlign w:val="center"/>
          </w:tcPr>
          <w:p>
            <w:pPr>
              <w:jc w:val="center"/>
              <w:rPr>
                <w:rFonts w:hint="default" w:ascii="Times New Roman" w:hAnsi="Times New Roman" w:eastAsia="宋体" w:cs="Times New Roman"/>
                <w:color w:val="000000"/>
                <w:sz w:val="21"/>
                <w:szCs w:val="21"/>
              </w:rPr>
            </w:pPr>
          </w:p>
        </w:tc>
        <w:tc>
          <w:tcPr>
            <w:tcW w:w="674" w:type="dxa"/>
            <w:noWrap w:val="0"/>
            <w:vAlign w:val="center"/>
          </w:tcPr>
          <w:p>
            <w:pPr>
              <w:jc w:val="center"/>
              <w:rPr>
                <w:rFonts w:hint="default" w:ascii="Times New Roman" w:hAnsi="Times New Roman" w:eastAsia="宋体" w:cs="Times New Roman"/>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31" w:hRule="atLeast"/>
          <w:jc w:val="center"/>
        </w:trPr>
        <w:tc>
          <w:tcPr>
            <w:tcW w:w="1492" w:type="dxa"/>
            <w:vMerge w:val="continue"/>
            <w:noWrap w:val="0"/>
            <w:vAlign w:val="center"/>
          </w:tcPr>
          <w:p>
            <w:pPr>
              <w:jc w:val="center"/>
              <w:rPr>
                <w:rFonts w:hint="default" w:ascii="Times New Roman" w:hAnsi="Times New Roman" w:eastAsia="宋体" w:cs="Times New Roman"/>
                <w:color w:val="000000"/>
                <w:sz w:val="21"/>
                <w:szCs w:val="21"/>
              </w:rPr>
            </w:pPr>
          </w:p>
        </w:tc>
        <w:tc>
          <w:tcPr>
            <w:tcW w:w="9588" w:type="dxa"/>
            <w:noWrap w:val="0"/>
            <w:vAlign w:val="center"/>
          </w:tcPr>
          <w:p>
            <w:pPr>
              <w:widowControl/>
              <w:jc w:val="left"/>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2.组织开展电动车停放和充电专项检查，对发现的隐患及时劝阻、制止、上报公安机关消防机构或者公安派出所。有条件的应当结合实际设置电动车集中停放及充电场所，集中充电点位配备必要的消防设施，有人员巡逻和监控等安全防范措施。</w:t>
            </w:r>
          </w:p>
        </w:tc>
        <w:tc>
          <w:tcPr>
            <w:tcW w:w="2212" w:type="dxa"/>
            <w:noWrap w:val="0"/>
            <w:vAlign w:val="center"/>
          </w:tcPr>
          <w:p>
            <w:pPr>
              <w:widowControl/>
              <w:jc w:val="left"/>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达不到标准，每项扣1分</w:t>
            </w:r>
          </w:p>
        </w:tc>
        <w:tc>
          <w:tcPr>
            <w:tcW w:w="776" w:type="dxa"/>
            <w:noWrap w:val="0"/>
            <w:vAlign w:val="center"/>
          </w:tcPr>
          <w:p>
            <w:pPr>
              <w:widowControl/>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2</w:t>
            </w:r>
          </w:p>
        </w:tc>
        <w:tc>
          <w:tcPr>
            <w:tcW w:w="686" w:type="dxa"/>
            <w:noWrap w:val="0"/>
            <w:vAlign w:val="center"/>
          </w:tcPr>
          <w:p>
            <w:pPr>
              <w:jc w:val="center"/>
              <w:rPr>
                <w:rFonts w:hint="default" w:ascii="Times New Roman" w:hAnsi="Times New Roman" w:eastAsia="宋体" w:cs="Times New Roman"/>
                <w:color w:val="000000"/>
                <w:sz w:val="21"/>
                <w:szCs w:val="21"/>
              </w:rPr>
            </w:pPr>
          </w:p>
        </w:tc>
        <w:tc>
          <w:tcPr>
            <w:tcW w:w="674" w:type="dxa"/>
            <w:noWrap w:val="0"/>
            <w:vAlign w:val="center"/>
          </w:tcPr>
          <w:p>
            <w:pPr>
              <w:jc w:val="center"/>
              <w:rPr>
                <w:rFonts w:hint="default" w:ascii="Times New Roman" w:hAnsi="Times New Roman" w:eastAsia="宋体" w:cs="Times New Roman"/>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492" w:type="dxa"/>
            <w:vMerge w:val="restart"/>
            <w:noWrap w:val="0"/>
            <w:vAlign w:val="center"/>
          </w:tcPr>
          <w:p>
            <w:pPr>
              <w:widowControl/>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九、红管先锋（10分）</w:t>
            </w:r>
          </w:p>
          <w:p>
            <w:pPr>
              <w:widowControl/>
              <w:textAlignment w:val="center"/>
              <w:rPr>
                <w:rFonts w:hint="default" w:ascii="Times New Roman" w:hAnsi="Times New Roman" w:eastAsia="宋体" w:cs="Times New Roman"/>
                <w:color w:val="000000"/>
                <w:kern w:val="0"/>
                <w:sz w:val="21"/>
                <w:szCs w:val="21"/>
              </w:rPr>
            </w:pPr>
          </w:p>
        </w:tc>
        <w:tc>
          <w:tcPr>
            <w:tcW w:w="9588" w:type="dxa"/>
            <w:noWrap w:val="0"/>
            <w:vAlign w:val="center"/>
          </w:tcPr>
          <w:p>
            <w:pPr>
              <w:widowControl/>
              <w:jc w:val="left"/>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1.联席会议制度健全，每月按时召开联席会议，公示“网格员”“物管员”信息及负责区域，设立党群服务点。</w:t>
            </w:r>
          </w:p>
        </w:tc>
        <w:tc>
          <w:tcPr>
            <w:tcW w:w="2212" w:type="dxa"/>
            <w:noWrap w:val="0"/>
            <w:vAlign w:val="center"/>
          </w:tcPr>
          <w:p>
            <w:pPr>
              <w:widowControl/>
              <w:jc w:val="left"/>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达不到标准，每项扣0.5分</w:t>
            </w:r>
          </w:p>
        </w:tc>
        <w:tc>
          <w:tcPr>
            <w:tcW w:w="776" w:type="dxa"/>
            <w:noWrap w:val="0"/>
            <w:vAlign w:val="center"/>
          </w:tcPr>
          <w:p>
            <w:pPr>
              <w:widowControl/>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2</w:t>
            </w:r>
          </w:p>
        </w:tc>
        <w:tc>
          <w:tcPr>
            <w:tcW w:w="686" w:type="dxa"/>
            <w:noWrap w:val="0"/>
            <w:vAlign w:val="center"/>
          </w:tcPr>
          <w:p>
            <w:pPr>
              <w:rPr>
                <w:rFonts w:hint="default" w:ascii="Times New Roman" w:hAnsi="Times New Roman" w:eastAsia="宋体" w:cs="Times New Roman"/>
                <w:color w:val="000000"/>
                <w:sz w:val="21"/>
                <w:szCs w:val="21"/>
              </w:rPr>
            </w:pPr>
          </w:p>
        </w:tc>
        <w:tc>
          <w:tcPr>
            <w:tcW w:w="674" w:type="dxa"/>
            <w:noWrap w:val="0"/>
            <w:vAlign w:val="center"/>
          </w:tcPr>
          <w:p>
            <w:pPr>
              <w:rPr>
                <w:rFonts w:hint="default" w:ascii="Times New Roman" w:hAnsi="Times New Roman" w:eastAsia="宋体" w:cs="Times New Roman"/>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97" w:hRule="atLeast"/>
          <w:jc w:val="center"/>
        </w:trPr>
        <w:tc>
          <w:tcPr>
            <w:tcW w:w="1492" w:type="dxa"/>
            <w:vMerge w:val="continue"/>
            <w:noWrap w:val="0"/>
            <w:vAlign w:val="center"/>
          </w:tcPr>
          <w:p>
            <w:pPr>
              <w:widowControl/>
              <w:textAlignment w:val="center"/>
              <w:rPr>
                <w:rFonts w:hint="default" w:ascii="Times New Roman" w:hAnsi="Times New Roman" w:eastAsia="宋体" w:cs="Times New Roman"/>
                <w:color w:val="000000"/>
                <w:kern w:val="0"/>
                <w:sz w:val="21"/>
                <w:szCs w:val="21"/>
              </w:rPr>
            </w:pPr>
          </w:p>
        </w:tc>
        <w:tc>
          <w:tcPr>
            <w:tcW w:w="9588" w:type="dxa"/>
            <w:noWrap w:val="0"/>
            <w:vAlign w:val="center"/>
          </w:tcPr>
          <w:p>
            <w:pPr>
              <w:widowControl/>
              <w:jc w:val="left"/>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2.党组织和党员作用发挥明显，物业服务企业有党组织或组建行动支部，定期开展各类党建活动，党员活动与物业服务工作有机融合。</w:t>
            </w:r>
          </w:p>
        </w:tc>
        <w:tc>
          <w:tcPr>
            <w:tcW w:w="2212" w:type="dxa"/>
            <w:noWrap w:val="0"/>
            <w:vAlign w:val="center"/>
          </w:tcPr>
          <w:p>
            <w:pPr>
              <w:widowControl/>
              <w:jc w:val="left"/>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达不到标准，每项扣0.5分</w:t>
            </w:r>
          </w:p>
        </w:tc>
        <w:tc>
          <w:tcPr>
            <w:tcW w:w="776" w:type="dxa"/>
            <w:noWrap w:val="0"/>
            <w:vAlign w:val="center"/>
          </w:tcPr>
          <w:p>
            <w:pPr>
              <w:widowControl/>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2</w:t>
            </w:r>
          </w:p>
        </w:tc>
        <w:tc>
          <w:tcPr>
            <w:tcW w:w="686" w:type="dxa"/>
            <w:noWrap w:val="0"/>
            <w:vAlign w:val="center"/>
          </w:tcPr>
          <w:p>
            <w:pPr>
              <w:rPr>
                <w:rFonts w:hint="default" w:ascii="Times New Roman" w:hAnsi="Times New Roman" w:eastAsia="宋体" w:cs="Times New Roman"/>
                <w:color w:val="000000"/>
                <w:sz w:val="21"/>
                <w:szCs w:val="21"/>
              </w:rPr>
            </w:pPr>
          </w:p>
        </w:tc>
        <w:tc>
          <w:tcPr>
            <w:tcW w:w="674" w:type="dxa"/>
            <w:noWrap w:val="0"/>
            <w:vAlign w:val="center"/>
          </w:tcPr>
          <w:p>
            <w:pPr>
              <w:rPr>
                <w:rFonts w:hint="default" w:ascii="Times New Roman" w:hAnsi="Times New Roman" w:eastAsia="宋体" w:cs="Times New Roman"/>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492" w:type="dxa"/>
            <w:vMerge w:val="continue"/>
            <w:noWrap w:val="0"/>
            <w:vAlign w:val="center"/>
          </w:tcPr>
          <w:p>
            <w:pPr>
              <w:widowControl/>
              <w:textAlignment w:val="center"/>
              <w:rPr>
                <w:rFonts w:hint="default" w:ascii="Times New Roman" w:hAnsi="Times New Roman" w:eastAsia="宋体" w:cs="Times New Roman"/>
                <w:color w:val="000000"/>
                <w:kern w:val="0"/>
                <w:sz w:val="21"/>
                <w:szCs w:val="21"/>
              </w:rPr>
            </w:pPr>
          </w:p>
        </w:tc>
        <w:tc>
          <w:tcPr>
            <w:tcW w:w="9588" w:type="dxa"/>
            <w:noWrap w:val="0"/>
            <w:vAlign w:val="center"/>
          </w:tcPr>
          <w:p>
            <w:pPr>
              <w:widowControl/>
              <w:jc w:val="left"/>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3.平安家园智慧门禁道闸运行正常，设备通电，在线接入联网平台；智慧门禁使用率较高；智慧门禁注册率达到90%；抽查单元门和地下室门禁能否正常启闭。</w:t>
            </w:r>
          </w:p>
        </w:tc>
        <w:tc>
          <w:tcPr>
            <w:tcW w:w="2212" w:type="dxa"/>
            <w:noWrap w:val="0"/>
            <w:vAlign w:val="center"/>
          </w:tcPr>
          <w:p>
            <w:pPr>
              <w:widowControl/>
              <w:jc w:val="left"/>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达不到标准，每项扣1.5分</w:t>
            </w:r>
          </w:p>
        </w:tc>
        <w:tc>
          <w:tcPr>
            <w:tcW w:w="776" w:type="dxa"/>
            <w:noWrap w:val="0"/>
            <w:vAlign w:val="center"/>
          </w:tcPr>
          <w:p>
            <w:pPr>
              <w:widowControl/>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6</w:t>
            </w:r>
          </w:p>
        </w:tc>
        <w:tc>
          <w:tcPr>
            <w:tcW w:w="686" w:type="dxa"/>
            <w:noWrap w:val="0"/>
            <w:vAlign w:val="center"/>
          </w:tcPr>
          <w:p>
            <w:pPr>
              <w:rPr>
                <w:rFonts w:hint="default" w:ascii="Times New Roman" w:hAnsi="Times New Roman" w:eastAsia="宋体" w:cs="Times New Roman"/>
                <w:color w:val="000000"/>
                <w:sz w:val="21"/>
                <w:szCs w:val="21"/>
              </w:rPr>
            </w:pPr>
          </w:p>
        </w:tc>
        <w:tc>
          <w:tcPr>
            <w:tcW w:w="674" w:type="dxa"/>
            <w:noWrap w:val="0"/>
            <w:vAlign w:val="center"/>
          </w:tcPr>
          <w:p>
            <w:pPr>
              <w:rPr>
                <w:rFonts w:hint="default" w:ascii="Times New Roman" w:hAnsi="Times New Roman" w:eastAsia="宋体" w:cs="Times New Roman"/>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69" w:hRule="atLeast"/>
          <w:jc w:val="center"/>
        </w:trPr>
        <w:tc>
          <w:tcPr>
            <w:tcW w:w="1492" w:type="dxa"/>
            <w:vMerge w:val="restart"/>
            <w:noWrap w:val="0"/>
            <w:vAlign w:val="center"/>
          </w:tcPr>
          <w:p>
            <w:pPr>
              <w:widowControl/>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十、装修管控（4分）</w:t>
            </w:r>
          </w:p>
        </w:tc>
        <w:tc>
          <w:tcPr>
            <w:tcW w:w="9588" w:type="dxa"/>
            <w:noWrap w:val="0"/>
            <w:vAlign w:val="center"/>
          </w:tcPr>
          <w:p>
            <w:pPr>
              <w:widowControl/>
              <w:jc w:val="left"/>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1.装修审批手续齐全，有明确的责任分工和责任人，并建立台账；装修现场无违法违章装修，装修管理员做好日巡检记录，发现违规情况应及时劝阻、制止、上报。</w:t>
            </w:r>
          </w:p>
        </w:tc>
        <w:tc>
          <w:tcPr>
            <w:tcW w:w="2212" w:type="dxa"/>
            <w:noWrap w:val="0"/>
            <w:vAlign w:val="center"/>
          </w:tcPr>
          <w:p>
            <w:pPr>
              <w:widowControl/>
              <w:jc w:val="left"/>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达不到标准，每项扣1分</w:t>
            </w:r>
          </w:p>
        </w:tc>
        <w:tc>
          <w:tcPr>
            <w:tcW w:w="776" w:type="dxa"/>
            <w:noWrap w:val="0"/>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2</w:t>
            </w:r>
          </w:p>
        </w:tc>
        <w:tc>
          <w:tcPr>
            <w:tcW w:w="686" w:type="dxa"/>
            <w:noWrap w:val="0"/>
            <w:vAlign w:val="center"/>
          </w:tcPr>
          <w:p>
            <w:pPr>
              <w:rPr>
                <w:rFonts w:hint="default" w:ascii="Times New Roman" w:hAnsi="Times New Roman" w:eastAsia="宋体" w:cs="Times New Roman"/>
                <w:color w:val="000000"/>
                <w:sz w:val="21"/>
                <w:szCs w:val="21"/>
              </w:rPr>
            </w:pPr>
          </w:p>
        </w:tc>
        <w:tc>
          <w:tcPr>
            <w:tcW w:w="674" w:type="dxa"/>
            <w:noWrap w:val="0"/>
            <w:vAlign w:val="center"/>
          </w:tcPr>
          <w:p>
            <w:pPr>
              <w:rPr>
                <w:rFonts w:hint="default" w:ascii="Times New Roman" w:hAnsi="Times New Roman" w:eastAsia="宋体" w:cs="Times New Roman"/>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29" w:hRule="atLeast"/>
          <w:jc w:val="center"/>
        </w:trPr>
        <w:tc>
          <w:tcPr>
            <w:tcW w:w="1492" w:type="dxa"/>
            <w:vMerge w:val="continue"/>
            <w:noWrap w:val="0"/>
            <w:vAlign w:val="center"/>
          </w:tcPr>
          <w:p>
            <w:pPr>
              <w:widowControl/>
              <w:textAlignment w:val="center"/>
              <w:rPr>
                <w:rFonts w:hint="default" w:ascii="Times New Roman" w:hAnsi="Times New Roman" w:eastAsia="宋体" w:cs="Times New Roman"/>
                <w:color w:val="000000"/>
                <w:kern w:val="0"/>
                <w:sz w:val="21"/>
                <w:szCs w:val="21"/>
              </w:rPr>
            </w:pPr>
          </w:p>
        </w:tc>
        <w:tc>
          <w:tcPr>
            <w:tcW w:w="9588" w:type="dxa"/>
            <w:noWrap w:val="0"/>
            <w:vAlign w:val="center"/>
          </w:tcPr>
          <w:p>
            <w:pPr>
              <w:widowControl/>
              <w:jc w:val="left"/>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2.做好装修垃圾集中堆放点的管理、垃圾清运工作，不得将装修垃圾交由无资质的运输企业（车辆）清运，根据属地环卫部门和社区（村）要求，协助做好居民小区装修垃圾管理。严禁本小区外的装修垃圾进入到本小区的堆放点。</w:t>
            </w:r>
          </w:p>
        </w:tc>
        <w:tc>
          <w:tcPr>
            <w:tcW w:w="2212" w:type="dxa"/>
            <w:noWrap w:val="0"/>
            <w:vAlign w:val="center"/>
          </w:tcPr>
          <w:p>
            <w:pPr>
              <w:widowControl/>
              <w:jc w:val="left"/>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达不到标准，扣1分</w:t>
            </w:r>
          </w:p>
        </w:tc>
        <w:tc>
          <w:tcPr>
            <w:tcW w:w="776" w:type="dxa"/>
            <w:noWrap w:val="0"/>
            <w:vAlign w:val="center"/>
          </w:tcPr>
          <w:p>
            <w:pPr>
              <w:widowControl/>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1</w:t>
            </w:r>
          </w:p>
        </w:tc>
        <w:tc>
          <w:tcPr>
            <w:tcW w:w="686" w:type="dxa"/>
            <w:noWrap w:val="0"/>
            <w:vAlign w:val="center"/>
          </w:tcPr>
          <w:p>
            <w:pPr>
              <w:rPr>
                <w:rFonts w:hint="default" w:ascii="Times New Roman" w:hAnsi="Times New Roman" w:eastAsia="宋体" w:cs="Times New Roman"/>
                <w:color w:val="000000"/>
                <w:sz w:val="21"/>
                <w:szCs w:val="21"/>
              </w:rPr>
            </w:pPr>
          </w:p>
        </w:tc>
        <w:tc>
          <w:tcPr>
            <w:tcW w:w="674" w:type="dxa"/>
            <w:noWrap w:val="0"/>
            <w:vAlign w:val="center"/>
          </w:tcPr>
          <w:p>
            <w:pPr>
              <w:rPr>
                <w:rFonts w:hint="default" w:ascii="Times New Roman" w:hAnsi="Times New Roman" w:eastAsia="宋体" w:cs="Times New Roman"/>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22" w:hRule="atLeast"/>
          <w:jc w:val="center"/>
        </w:trPr>
        <w:tc>
          <w:tcPr>
            <w:tcW w:w="1492" w:type="dxa"/>
            <w:vMerge w:val="continue"/>
            <w:noWrap w:val="0"/>
            <w:vAlign w:val="center"/>
          </w:tcPr>
          <w:p>
            <w:pPr>
              <w:widowControl/>
              <w:textAlignment w:val="center"/>
              <w:rPr>
                <w:rFonts w:hint="default" w:ascii="Times New Roman" w:hAnsi="Times New Roman" w:eastAsia="宋体" w:cs="Times New Roman"/>
                <w:color w:val="000000"/>
                <w:kern w:val="0"/>
                <w:sz w:val="21"/>
                <w:szCs w:val="21"/>
              </w:rPr>
            </w:pPr>
          </w:p>
        </w:tc>
        <w:tc>
          <w:tcPr>
            <w:tcW w:w="9588" w:type="dxa"/>
            <w:noWrap w:val="0"/>
            <w:vAlign w:val="center"/>
          </w:tcPr>
          <w:p>
            <w:pPr>
              <w:widowControl/>
              <w:jc w:val="left"/>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3.由居民承担装修垃圾清运费用的，应向居民告知（公示）承担费用的项目名称、费用标准、收运企业（车辆）等相关信息。</w:t>
            </w:r>
          </w:p>
        </w:tc>
        <w:tc>
          <w:tcPr>
            <w:tcW w:w="2212" w:type="dxa"/>
            <w:noWrap w:val="0"/>
            <w:vAlign w:val="center"/>
          </w:tcPr>
          <w:p>
            <w:pPr>
              <w:widowControl/>
              <w:jc w:val="left"/>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达不到标准，扣1分</w:t>
            </w:r>
          </w:p>
        </w:tc>
        <w:tc>
          <w:tcPr>
            <w:tcW w:w="776" w:type="dxa"/>
            <w:noWrap w:val="0"/>
            <w:vAlign w:val="center"/>
          </w:tcPr>
          <w:p>
            <w:pPr>
              <w:widowControl/>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1</w:t>
            </w:r>
          </w:p>
        </w:tc>
        <w:tc>
          <w:tcPr>
            <w:tcW w:w="686" w:type="dxa"/>
            <w:noWrap w:val="0"/>
            <w:vAlign w:val="center"/>
          </w:tcPr>
          <w:p>
            <w:pPr>
              <w:rPr>
                <w:rFonts w:hint="default" w:ascii="Times New Roman" w:hAnsi="Times New Roman" w:eastAsia="宋体" w:cs="Times New Roman"/>
                <w:color w:val="000000"/>
                <w:sz w:val="21"/>
                <w:szCs w:val="21"/>
              </w:rPr>
            </w:pPr>
          </w:p>
        </w:tc>
        <w:tc>
          <w:tcPr>
            <w:tcW w:w="674" w:type="dxa"/>
            <w:noWrap w:val="0"/>
            <w:vAlign w:val="center"/>
          </w:tcPr>
          <w:p>
            <w:pPr>
              <w:rPr>
                <w:rFonts w:hint="default" w:ascii="Times New Roman" w:hAnsi="Times New Roman" w:eastAsia="宋体" w:cs="Times New Roman"/>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26" w:hRule="atLeast"/>
          <w:jc w:val="center"/>
        </w:trPr>
        <w:tc>
          <w:tcPr>
            <w:tcW w:w="1492" w:type="dxa"/>
            <w:noWrap w:val="0"/>
            <w:vAlign w:val="center"/>
          </w:tcPr>
          <w:p>
            <w:pPr>
              <w:widowControl/>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十一、其他</w:t>
            </w:r>
          </w:p>
          <w:p>
            <w:pPr>
              <w:widowControl/>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（15分）</w:t>
            </w:r>
          </w:p>
          <w:p>
            <w:pPr>
              <w:widowControl/>
              <w:textAlignment w:val="center"/>
              <w:rPr>
                <w:rFonts w:hint="default" w:ascii="Times New Roman" w:hAnsi="Times New Roman" w:eastAsia="宋体" w:cs="Times New Roman"/>
                <w:color w:val="000000"/>
                <w:kern w:val="0"/>
                <w:sz w:val="21"/>
                <w:szCs w:val="21"/>
              </w:rPr>
            </w:pPr>
          </w:p>
        </w:tc>
        <w:tc>
          <w:tcPr>
            <w:tcW w:w="9588" w:type="dxa"/>
            <w:noWrap w:val="0"/>
            <w:vAlign w:val="center"/>
          </w:tcPr>
          <w:p>
            <w:pPr>
              <w:widowControl/>
              <w:jc w:val="left"/>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项目交付情况。（分期交付时，以项目最早一期交付使用时间和最近一次交付使用时间的平均值计算）</w:t>
            </w:r>
          </w:p>
        </w:tc>
        <w:tc>
          <w:tcPr>
            <w:tcW w:w="2212" w:type="dxa"/>
            <w:noWrap w:val="0"/>
            <w:vAlign w:val="center"/>
          </w:tcPr>
          <w:p>
            <w:pPr>
              <w:widowControl/>
              <w:jc w:val="left"/>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交付2年内得0分（含2年）、交付2至3年的（含3年）得3分，依次类推</w:t>
            </w:r>
          </w:p>
        </w:tc>
        <w:tc>
          <w:tcPr>
            <w:tcW w:w="776" w:type="dxa"/>
            <w:noWrap w:val="0"/>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15</w:t>
            </w:r>
          </w:p>
        </w:tc>
        <w:tc>
          <w:tcPr>
            <w:tcW w:w="686" w:type="dxa"/>
            <w:noWrap w:val="0"/>
            <w:vAlign w:val="center"/>
          </w:tcPr>
          <w:p>
            <w:pPr>
              <w:rPr>
                <w:rFonts w:hint="default" w:ascii="Times New Roman" w:hAnsi="Times New Roman" w:eastAsia="宋体" w:cs="Times New Roman"/>
                <w:color w:val="000000"/>
                <w:sz w:val="21"/>
                <w:szCs w:val="21"/>
              </w:rPr>
            </w:pPr>
          </w:p>
        </w:tc>
        <w:tc>
          <w:tcPr>
            <w:tcW w:w="674" w:type="dxa"/>
            <w:noWrap w:val="0"/>
            <w:vAlign w:val="center"/>
          </w:tcPr>
          <w:p>
            <w:pPr>
              <w:rPr>
                <w:rFonts w:hint="default" w:ascii="Times New Roman" w:hAnsi="Times New Roman" w:eastAsia="宋体" w:cs="Times New Roman"/>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31" w:hRule="atLeast"/>
          <w:jc w:val="center"/>
        </w:trPr>
        <w:tc>
          <w:tcPr>
            <w:tcW w:w="1492" w:type="dxa"/>
            <w:noWrap w:val="0"/>
            <w:vAlign w:val="center"/>
          </w:tcPr>
          <w:p>
            <w:pPr>
              <w:widowControl/>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总分</w:t>
            </w:r>
          </w:p>
        </w:tc>
        <w:tc>
          <w:tcPr>
            <w:tcW w:w="13936" w:type="dxa"/>
            <w:gridSpan w:val="5"/>
            <w:noWrap w:val="0"/>
            <w:vAlign w:val="center"/>
          </w:tcPr>
          <w:p>
            <w:pPr>
              <w:rPr>
                <w:rFonts w:hint="default" w:ascii="Times New Roman" w:hAnsi="Times New Roman" w:eastAsia="宋体" w:cs="Times New Roman"/>
                <w:color w:val="000000"/>
                <w:sz w:val="21"/>
                <w:szCs w:val="21"/>
              </w:rPr>
            </w:pPr>
          </w:p>
        </w:tc>
      </w:tr>
    </w:tbl>
    <w:p>
      <w:pPr>
        <w:widowControl/>
        <w:ind w:firstLine="1120" w:firstLineChars="400"/>
        <w:jc w:val="left"/>
        <w:rPr>
          <w:rFonts w:hint="default" w:ascii="Times New Roman" w:hAnsi="Times New Roman" w:eastAsia="黑体" w:cs="Times New Roman"/>
          <w:color w:val="000000"/>
          <w:sz w:val="28"/>
          <w:szCs w:val="28"/>
        </w:rPr>
      </w:pPr>
    </w:p>
    <w:p>
      <w:pPr>
        <w:widowControl/>
        <w:ind w:firstLine="1120" w:firstLineChars="400"/>
        <w:jc w:val="left"/>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 xml:space="preserve">检查小组签名：                                                </w:t>
      </w:r>
      <w:r>
        <w:rPr>
          <w:rFonts w:hint="default" w:ascii="Times New Roman" w:hAnsi="Times New Roman" w:eastAsia="黑体" w:cs="Times New Roman"/>
          <w:color w:val="000000"/>
          <w:sz w:val="22"/>
          <w:szCs w:val="22"/>
        </w:rPr>
        <w:t xml:space="preserve">  </w:t>
      </w:r>
      <w:r>
        <w:rPr>
          <w:rFonts w:hint="default" w:ascii="Times New Roman" w:hAnsi="Times New Roman" w:eastAsia="黑体" w:cs="Times New Roman"/>
          <w:color w:val="000000"/>
          <w:sz w:val="28"/>
          <w:szCs w:val="28"/>
        </w:rPr>
        <w:t xml:space="preserve">项目经理签名：     </w:t>
      </w:r>
    </w:p>
    <w:p>
      <w:pP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 xml:space="preserve">                                                                        身份证号： </w:t>
      </w:r>
    </w:p>
    <w:p>
      <w:pPr>
        <w:ind w:firstLine="10080" w:firstLineChars="3600"/>
        <w:rPr>
          <w:rFonts w:hint="default" w:ascii="Times New Roman" w:hAnsi="Times New Roman" w:eastAsia="黑体" w:cs="Times New Roman"/>
          <w:color w:val="000000"/>
          <w:sz w:val="28"/>
          <w:szCs w:val="28"/>
        </w:rPr>
        <w:sectPr>
          <w:headerReference r:id="rId3" w:type="default"/>
          <w:footerReference r:id="rId4" w:type="default"/>
          <w:pgSz w:w="16838" w:h="11906" w:orient="landscape"/>
          <w:pgMar w:top="720" w:right="720" w:bottom="720" w:left="720" w:header="851" w:footer="992" w:gutter="0"/>
          <w:pgBorders>
            <w:top w:val="none" w:sz="0" w:space="0"/>
            <w:left w:val="none" w:sz="0" w:space="0"/>
            <w:bottom w:val="none" w:sz="0" w:space="0"/>
            <w:right w:val="none" w:sz="0" w:space="0"/>
          </w:pgBorders>
          <w:cols w:space="720" w:num="1"/>
          <w:docGrid w:type="lines" w:linePitch="312" w:charSpace="0"/>
        </w:sectPr>
      </w:pPr>
      <w:r>
        <w:rPr>
          <w:rFonts w:hint="default" w:ascii="Times New Roman" w:hAnsi="Times New Roman" w:eastAsia="黑体" w:cs="Times New Roman"/>
          <w:color w:val="000000"/>
          <w:sz w:val="28"/>
          <w:szCs w:val="28"/>
        </w:rPr>
        <w:t>联系电话：</w:t>
      </w: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1269B7"/>
    <w:multiLevelType w:val="singleLevel"/>
    <w:tmpl w:val="5A1269B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yZGQ3MDUwZmZlNjQ1MTc1NTljYWIzOTUxOGYxNTkifQ=="/>
  </w:docVars>
  <w:rsids>
    <w:rsidRoot w:val="28000BE4"/>
    <w:rsid w:val="28000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2023-10-12T06:40:00Z</dcterms:created>
  <dc:creator>✔️</dc:creator>
  <cp:lastModifiedBy>✔️</cp:lastModifiedBy>
  <dcterms:modified xsi:type="dcterms:W3CDTF">2023-10-12T06:40:33Z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52E2149CB4BD4C87B62F6679CD8C0077_11</vt:lpwstr>
  </property>
</Properties>
</file>