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CE005">
      <w:pPr>
        <w:pStyle w:val="2"/>
        <w:spacing w:before="0" w:after="0" w:line="700" w:lineRule="exact"/>
        <w:jc w:val="center"/>
        <w:rPr>
          <w:rFonts w:ascii="Times New Roman" w:eastAsia="方正小标宋_GBK"/>
          <w:b w:val="0"/>
          <w:sz w:val="44"/>
        </w:rPr>
      </w:pPr>
      <w:r>
        <w:rPr>
          <w:rFonts w:ascii="Times New Roman" w:eastAsia="方正小标宋_GBK"/>
          <w:b w:val="0"/>
          <w:sz w:val="44"/>
        </w:rPr>
        <w:t>昆山市重污染天气应急预案</w:t>
      </w:r>
      <w:r>
        <w:rPr>
          <w:rFonts w:hint="eastAsia" w:ascii="Times New Roman" w:eastAsia="方正小标宋_GBK"/>
          <w:b w:val="0"/>
          <w:sz w:val="44"/>
          <w:lang w:eastAsia="zh-CN"/>
        </w:rPr>
        <w:t>修订</w:t>
      </w:r>
      <w:bookmarkStart w:id="0" w:name="_GoBack"/>
      <w:bookmarkEnd w:id="0"/>
      <w:r>
        <w:rPr>
          <w:rFonts w:ascii="Times New Roman" w:eastAsia="方正小标宋_GBK"/>
          <w:b w:val="0"/>
          <w:sz w:val="44"/>
        </w:rPr>
        <w:t>说明</w:t>
      </w:r>
    </w:p>
    <w:p w14:paraId="0235C575">
      <w:pPr>
        <w:pStyle w:val="19"/>
        <w:spacing w:before="0" w:after="0" w:line="600" w:lineRule="exact"/>
        <w:ind w:firstLine="640" w:firstLineChars="200"/>
        <w:jc w:val="both"/>
        <w:rPr>
          <w:rFonts w:ascii="Times New Roman" w:eastAsia="仿宋_GB2312"/>
          <w:sz w:val="32"/>
        </w:rPr>
      </w:pPr>
    </w:p>
    <w:p w14:paraId="625B1D9F">
      <w:pPr>
        <w:pStyle w:val="19"/>
        <w:widowControl w:val="0"/>
        <w:spacing w:before="0" w:after="0" w:line="600" w:lineRule="exact"/>
        <w:ind w:firstLine="640" w:firstLineChars="200"/>
        <w:jc w:val="both"/>
        <w:rPr>
          <w:rFonts w:ascii="Times New Roman" w:eastAsia="仿宋_GB2312"/>
          <w:sz w:val="32"/>
        </w:rPr>
      </w:pPr>
      <w:r>
        <w:rPr>
          <w:rFonts w:ascii="Times New Roman" w:eastAsia="仿宋_GB2312"/>
          <w:sz w:val="32"/>
        </w:rPr>
        <w:t>为深入打好污染防治攻坚战，健全重污染天气应对机制，提升重污染天气科学精准处置能力，切实保障人民群众身体健康和环境安全，按照生态环境部、江苏省、苏州市统一部署，结合昆山市实际，对2023年</w:t>
      </w:r>
      <w:r>
        <w:rPr>
          <w:rFonts w:hint="eastAsia" w:ascii="Times New Roman" w:eastAsia="仿宋_GB2312"/>
          <w:sz w:val="32"/>
        </w:rPr>
        <w:t>编制的</w:t>
      </w:r>
      <w:r>
        <w:rPr>
          <w:rFonts w:ascii="Times New Roman" w:eastAsia="仿宋_GB2312"/>
          <w:sz w:val="32"/>
        </w:rPr>
        <w:t>《昆山市重污染天气应急预案》进行修订，形成</w:t>
      </w:r>
      <w:r>
        <w:rPr>
          <w:rFonts w:hint="eastAsia" w:ascii="Times New Roman" w:eastAsia="仿宋_GB2312"/>
          <w:sz w:val="32"/>
        </w:rPr>
        <w:t>新的</w:t>
      </w:r>
      <w:r>
        <w:rPr>
          <w:rFonts w:ascii="Times New Roman" w:eastAsia="仿宋_GB2312"/>
          <w:sz w:val="32"/>
        </w:rPr>
        <w:t>《昆山市重污染天气应急预案》，具体情况说明如下：</w:t>
      </w:r>
    </w:p>
    <w:p w14:paraId="5C8C35A0">
      <w:pPr>
        <w:pStyle w:val="3"/>
        <w:spacing w:before="0" w:after="0" w:line="600" w:lineRule="exact"/>
        <w:ind w:firstLine="640" w:firstLineChars="200"/>
        <w:jc w:val="both"/>
        <w:rPr>
          <w:rFonts w:hint="eastAsia" w:ascii="Times New Roman" w:hAnsi="黑体" w:eastAsia="黑体"/>
          <w:b w:val="0"/>
        </w:rPr>
      </w:pPr>
      <w:r>
        <w:rPr>
          <w:rFonts w:ascii="Times New Roman" w:hAnsi="黑体" w:eastAsia="黑体"/>
          <w:b w:val="0"/>
        </w:rPr>
        <w:t>一、修订</w:t>
      </w:r>
      <w:r>
        <w:rPr>
          <w:rFonts w:hint="eastAsia" w:ascii="Times New Roman" w:hAnsi="黑体" w:eastAsia="黑体"/>
          <w:b w:val="0"/>
        </w:rPr>
        <w:t>的背景</w:t>
      </w:r>
    </w:p>
    <w:p w14:paraId="622CB2AE">
      <w:pPr>
        <w:spacing w:line="600" w:lineRule="exact"/>
        <w:ind w:firstLine="640" w:firstLineChars="200"/>
        <w:jc w:val="both"/>
        <w:rPr>
          <w:rFonts w:eastAsia="仿宋_GB2312"/>
          <w:szCs w:val="32"/>
        </w:rPr>
      </w:pPr>
      <w:r>
        <w:rPr>
          <w:rFonts w:hint="eastAsia" w:eastAsia="仿宋_GB2312"/>
        </w:rPr>
        <w:t xml:space="preserve">1. </w:t>
      </w:r>
      <w:r>
        <w:rPr>
          <w:rFonts w:eastAsia="仿宋_GB2312"/>
        </w:rPr>
        <w:t>上级政策文件</w:t>
      </w:r>
      <w:r>
        <w:rPr>
          <w:rFonts w:hint="eastAsia" w:eastAsia="仿宋_GB2312"/>
        </w:rPr>
        <w:t>要求</w:t>
      </w:r>
      <w:r>
        <w:rPr>
          <w:rFonts w:eastAsia="仿宋_GB2312"/>
        </w:rPr>
        <w:t>。</w:t>
      </w:r>
      <w:r>
        <w:rPr>
          <w:rFonts w:hint="eastAsia" w:eastAsia="仿宋_GB2312"/>
        </w:rPr>
        <w:t>2024年1月，</w:t>
      </w:r>
      <w:r>
        <w:rPr>
          <w:rFonts w:eastAsia="仿宋_GB2312"/>
        </w:rPr>
        <w:t>生态环境部</w:t>
      </w:r>
      <w:r>
        <w:rPr>
          <w:rFonts w:hint="eastAsia" w:eastAsia="仿宋_GB2312"/>
        </w:rPr>
        <w:t>印发了</w:t>
      </w:r>
      <w:r>
        <w:rPr>
          <w:rFonts w:eastAsia="仿宋_GB2312"/>
        </w:rPr>
        <w:t>《关于进一步优化重污染天气应对机制的指导意见》（环大气〔2024〕6号）、</w:t>
      </w:r>
      <w:r>
        <w:rPr>
          <w:rFonts w:hint="eastAsia" w:eastAsia="仿宋_GB2312"/>
        </w:rPr>
        <w:t>提出了“优化重污染天气应急响应规则、规范重污染天气应对工作、强化区域应急联动”等要求，并要求“省（自治区、直辖市）生态环境主管部门应配合本级人民政府并指导市县人民政府做好重污染天气应急预案的制修订工作”。2025年5月16日，江苏省人民政府办公厅印发了</w:t>
      </w:r>
      <w:r>
        <w:rPr>
          <w:rFonts w:eastAsia="仿宋_GB2312"/>
        </w:rPr>
        <w:t>《江苏省重污染天气应急预案》（苏政办函〔2025〕38号）</w:t>
      </w:r>
      <w:r>
        <w:rPr>
          <w:rFonts w:hint="eastAsia" w:eastAsia="仿宋_GB2312"/>
        </w:rPr>
        <w:t>，苏州</w:t>
      </w:r>
      <w:r>
        <w:rPr>
          <w:rFonts w:eastAsia="仿宋_GB2312"/>
        </w:rPr>
        <w:t>市</w:t>
      </w:r>
      <w:r>
        <w:rPr>
          <w:rFonts w:hint="eastAsia" w:eastAsia="仿宋_GB2312"/>
        </w:rPr>
        <w:t>据此启动了市级</w:t>
      </w:r>
      <w:r>
        <w:rPr>
          <w:rFonts w:eastAsia="仿宋_GB2312"/>
        </w:rPr>
        <w:t>重污染天气应急预案</w:t>
      </w:r>
      <w:r>
        <w:rPr>
          <w:rFonts w:hint="eastAsia" w:eastAsia="仿宋_GB2312"/>
        </w:rPr>
        <w:t>修订工作。</w:t>
      </w:r>
      <w:r>
        <w:rPr>
          <w:rFonts w:eastAsia="仿宋_GB2312"/>
          <w:szCs w:val="32"/>
        </w:rPr>
        <w:t>为保持与</w:t>
      </w:r>
      <w:r>
        <w:rPr>
          <w:rFonts w:hint="eastAsia" w:eastAsia="仿宋_GB2312"/>
          <w:szCs w:val="32"/>
        </w:rPr>
        <w:t>上级</w:t>
      </w:r>
      <w:r>
        <w:rPr>
          <w:rFonts w:eastAsia="仿宋_GB2312"/>
          <w:szCs w:val="32"/>
        </w:rPr>
        <w:t>部门上下协同，确保重污染天气应急响应工作及时、高效、有序进行，减少重污染天气影响，确保高水平应对重污染天气，</w:t>
      </w:r>
      <w:r>
        <w:rPr>
          <w:rFonts w:hint="eastAsia" w:eastAsia="仿宋_GB2312"/>
          <w:szCs w:val="32"/>
        </w:rPr>
        <w:t>须对</w:t>
      </w:r>
      <w:r>
        <w:rPr>
          <w:rFonts w:eastAsia="仿宋_GB2312"/>
          <w:szCs w:val="32"/>
        </w:rPr>
        <w:t>我</w:t>
      </w:r>
      <w:r>
        <w:rPr>
          <w:rFonts w:hint="eastAsia" w:eastAsia="仿宋_GB2312"/>
          <w:szCs w:val="32"/>
        </w:rPr>
        <w:t>市现行重污染天气应急预案进行修订。</w:t>
      </w:r>
    </w:p>
    <w:p w14:paraId="298DBD36">
      <w:pPr>
        <w:pStyle w:val="19"/>
        <w:spacing w:before="0" w:after="0" w:line="600" w:lineRule="exact"/>
        <w:ind w:firstLine="640" w:firstLineChars="200"/>
        <w:jc w:val="both"/>
        <w:rPr>
          <w:rFonts w:ascii="Times New Roman" w:eastAsia="仿宋_GB2312"/>
          <w:sz w:val="32"/>
        </w:rPr>
      </w:pPr>
      <w:r>
        <w:rPr>
          <w:rFonts w:ascii="Times New Roman" w:eastAsia="仿宋_GB2312"/>
          <w:sz w:val="32"/>
        </w:rPr>
        <w:t>2.</w:t>
      </w:r>
      <w:r>
        <w:rPr>
          <w:rFonts w:hint="eastAsia" w:ascii="Times New Roman" w:eastAsia="仿宋_GB2312"/>
          <w:sz w:val="32"/>
        </w:rPr>
        <w:t xml:space="preserve"> </w:t>
      </w:r>
      <w:r>
        <w:rPr>
          <w:rFonts w:ascii="Times New Roman" w:eastAsia="仿宋_GB2312"/>
          <w:sz w:val="32"/>
        </w:rPr>
        <w:t>应急组织架构调整优化。</w:t>
      </w:r>
      <w:r>
        <w:rPr>
          <w:rFonts w:hint="eastAsia" w:ascii="Times New Roman" w:eastAsia="仿宋_GB2312"/>
          <w:sz w:val="32"/>
        </w:rPr>
        <w:t>省里由省深入打好污染防治攻坚战指挥部为重污染天气应急指挥机构，</w:t>
      </w:r>
      <w:r>
        <w:rPr>
          <w:rFonts w:ascii="Times New Roman" w:eastAsia="仿宋_GB2312"/>
          <w:sz w:val="32"/>
        </w:rPr>
        <w:t>苏州由市深入打好污染防治攻坚战和太湖地区保护发展委员会作为重污染天气应急指挥机构，昆山对应调整为市深入打好污染防治攻坚战和阳澄湖地区保护发展委员会，需在预案中明确新架构及日常办事机构职责。</w:t>
      </w:r>
    </w:p>
    <w:p w14:paraId="3DA089F9">
      <w:pPr>
        <w:pStyle w:val="19"/>
        <w:spacing w:before="0" w:after="0" w:line="600" w:lineRule="exact"/>
        <w:ind w:firstLine="640" w:firstLineChars="200"/>
        <w:jc w:val="both"/>
        <w:rPr>
          <w:rFonts w:ascii="Times New Roman" w:eastAsia="仿宋_GB2312"/>
          <w:sz w:val="32"/>
        </w:rPr>
      </w:pPr>
      <w:r>
        <w:rPr>
          <w:rFonts w:ascii="Times New Roman" w:eastAsia="仿宋_GB2312"/>
          <w:sz w:val="32"/>
        </w:rPr>
        <w:t>3.</w:t>
      </w:r>
      <w:r>
        <w:rPr>
          <w:rFonts w:hint="eastAsia" w:ascii="Times New Roman" w:eastAsia="仿宋_GB2312"/>
          <w:sz w:val="32"/>
        </w:rPr>
        <w:t xml:space="preserve"> </w:t>
      </w:r>
      <w:r>
        <w:rPr>
          <w:rFonts w:ascii="Times New Roman" w:eastAsia="仿宋_GB2312"/>
          <w:sz w:val="32"/>
        </w:rPr>
        <w:t>应急管控标准提档升级。省级、市级预案对污染物减排比例、机动车限行、非道路移动机械管控、施工扬尘、船舶岸电使用、应急豁免管理等提出更严格、更细化要求，需全面衔接落地，确保管控措施可操作、可监测、可核查。</w:t>
      </w:r>
    </w:p>
    <w:p w14:paraId="52D9E8A0">
      <w:pPr>
        <w:pStyle w:val="19"/>
        <w:spacing w:before="0" w:after="0" w:line="600" w:lineRule="exact"/>
        <w:ind w:firstLine="640" w:firstLineChars="200"/>
        <w:jc w:val="both"/>
        <w:rPr>
          <w:rFonts w:ascii="Times New Roman" w:eastAsia="仿宋_GB2312"/>
          <w:sz w:val="32"/>
        </w:rPr>
      </w:pPr>
      <w:r>
        <w:rPr>
          <w:rFonts w:ascii="Times New Roman" w:eastAsia="仿宋_GB2312"/>
          <w:sz w:val="32"/>
        </w:rPr>
        <w:t>4.</w:t>
      </w:r>
      <w:r>
        <w:rPr>
          <w:rFonts w:hint="eastAsia" w:ascii="Times New Roman" w:eastAsia="仿宋_GB2312"/>
          <w:sz w:val="32"/>
        </w:rPr>
        <w:t xml:space="preserve"> </w:t>
      </w:r>
      <w:r>
        <w:rPr>
          <w:rFonts w:ascii="Times New Roman" w:eastAsia="仿宋_GB2312"/>
          <w:sz w:val="32"/>
        </w:rPr>
        <w:t>决策程序要求更加规范。按照重大行政决策程序规定，需完善公众参与、专家论证、风险评估、合法性审查、廉洁性审查等流程，确保预案制定程序合法、内容合规、务实管用。</w:t>
      </w:r>
    </w:p>
    <w:p w14:paraId="0CBE33CB">
      <w:pPr>
        <w:pStyle w:val="3"/>
        <w:spacing w:before="0" w:after="0" w:line="600" w:lineRule="exact"/>
        <w:ind w:firstLine="640" w:firstLineChars="200"/>
        <w:jc w:val="both"/>
        <w:rPr>
          <w:rFonts w:hint="eastAsia" w:ascii="Times New Roman" w:hAnsi="黑体" w:eastAsia="黑体"/>
          <w:b w:val="0"/>
        </w:rPr>
      </w:pPr>
      <w:r>
        <w:rPr>
          <w:rFonts w:ascii="Times New Roman" w:hAnsi="黑体" w:eastAsia="黑体"/>
          <w:b w:val="0"/>
        </w:rPr>
        <w:t>二、</w:t>
      </w:r>
      <w:r>
        <w:rPr>
          <w:rFonts w:hint="eastAsia" w:ascii="Times New Roman" w:hAnsi="黑体" w:eastAsia="黑体"/>
          <w:b w:val="0"/>
        </w:rPr>
        <w:t>修订</w:t>
      </w:r>
      <w:r>
        <w:rPr>
          <w:rFonts w:ascii="Times New Roman" w:hAnsi="黑体" w:eastAsia="黑体"/>
          <w:b w:val="0"/>
        </w:rPr>
        <w:t>依据</w:t>
      </w:r>
    </w:p>
    <w:p w14:paraId="4154F279">
      <w:pPr>
        <w:spacing w:line="600" w:lineRule="exact"/>
        <w:ind w:firstLine="640" w:firstLineChars="200"/>
        <w:jc w:val="both"/>
        <w:rPr>
          <w:rFonts w:eastAsia="仿宋_GB2312"/>
          <w:szCs w:val="32"/>
        </w:rPr>
      </w:pPr>
      <w:r>
        <w:rPr>
          <w:rFonts w:eastAsia="仿宋_GB2312"/>
          <w:szCs w:val="32"/>
        </w:rPr>
        <w:t>1</w:t>
      </w:r>
      <w:r>
        <w:rPr>
          <w:rFonts w:hint="eastAsia" w:eastAsia="仿宋_GB2312"/>
          <w:szCs w:val="32"/>
        </w:rPr>
        <w:t xml:space="preserve">. </w:t>
      </w:r>
      <w:r>
        <w:rPr>
          <w:rFonts w:eastAsia="仿宋_GB2312"/>
          <w:szCs w:val="32"/>
        </w:rPr>
        <w:t>《中华人民共和国大气污染防治法》第九十四条第二款规定，“省、自治区、直辖市、设区的市人民政府以及可能发生重污染天气的县级人民政府，应当制定重污染天气应急预案，向上一级人民政府生态环境主管部门备案，并向社会公布”。</w:t>
      </w:r>
    </w:p>
    <w:p w14:paraId="72E6DCA7">
      <w:pPr>
        <w:spacing w:line="600" w:lineRule="exact"/>
        <w:ind w:firstLine="640" w:firstLineChars="200"/>
        <w:jc w:val="both"/>
        <w:rPr>
          <w:rFonts w:eastAsia="仿宋_GB2312"/>
          <w:kern w:val="44"/>
          <w:szCs w:val="32"/>
        </w:rPr>
      </w:pPr>
      <w:r>
        <w:rPr>
          <w:rFonts w:hint="eastAsia" w:eastAsia="仿宋_GB2312"/>
          <w:szCs w:val="32"/>
        </w:rPr>
        <w:t xml:space="preserve">2. </w:t>
      </w:r>
      <w:r>
        <w:rPr>
          <w:rFonts w:eastAsia="仿宋_GB2312"/>
          <w:szCs w:val="32"/>
        </w:rPr>
        <w:t>生态环境部印发《关于进一步优化重污染天气应对机制的指导意见》（</w:t>
      </w:r>
      <w:r>
        <w:rPr>
          <w:rFonts w:eastAsia="仿宋_GB2312"/>
          <w:kern w:val="44"/>
          <w:szCs w:val="32"/>
        </w:rPr>
        <w:t>环大气〔2024〕6号</w:t>
      </w:r>
      <w:r>
        <w:rPr>
          <w:rFonts w:eastAsia="仿宋_GB2312"/>
          <w:szCs w:val="32"/>
        </w:rPr>
        <w:t>）中对重污染天气应急响应规则、应对效果评估、应急预案修订以及区域应急联动等进一步明确了要求</w:t>
      </w:r>
      <w:r>
        <w:rPr>
          <w:rFonts w:eastAsia="仿宋_GB2312"/>
          <w:kern w:val="44"/>
          <w:szCs w:val="32"/>
        </w:rPr>
        <w:t>。</w:t>
      </w:r>
    </w:p>
    <w:p w14:paraId="1DABE490">
      <w:pPr>
        <w:spacing w:line="600" w:lineRule="exact"/>
        <w:ind w:firstLine="640" w:firstLineChars="200"/>
        <w:jc w:val="both"/>
        <w:rPr>
          <w:rFonts w:eastAsia="仿宋_GB2312"/>
          <w:szCs w:val="32"/>
        </w:rPr>
      </w:pPr>
      <w:r>
        <w:rPr>
          <w:rFonts w:eastAsia="仿宋_GB2312"/>
          <w:szCs w:val="32"/>
        </w:rPr>
        <w:t>3</w:t>
      </w:r>
      <w:r>
        <w:rPr>
          <w:rFonts w:hint="eastAsia" w:eastAsia="仿宋_GB2312"/>
        </w:rPr>
        <w:t xml:space="preserve">. </w:t>
      </w:r>
      <w:r>
        <w:rPr>
          <w:rFonts w:eastAsia="仿宋_GB2312"/>
          <w:szCs w:val="32"/>
        </w:rPr>
        <w:t>《江苏省重污染天气应急预案》（苏政办函〔2025〕38号）根据国家要求及全省实际情况，建立完善了省市县三级重污染天气应急体系，进一步优化了预警启动标准，对预警预报、会商研判等工作和部门职责提出了更明确的要求，结合企业绩效分级和应急减排清单管理，明确了各类应急响应措施。</w:t>
      </w:r>
    </w:p>
    <w:p w14:paraId="5EC35695">
      <w:pPr>
        <w:pStyle w:val="3"/>
        <w:spacing w:before="0" w:after="0" w:line="600" w:lineRule="exact"/>
        <w:ind w:firstLine="640" w:firstLineChars="200"/>
        <w:jc w:val="both"/>
        <w:rPr>
          <w:rFonts w:hint="eastAsia" w:ascii="Times New Roman" w:hAnsi="黑体" w:eastAsia="黑体"/>
          <w:b w:val="0"/>
        </w:rPr>
      </w:pPr>
      <w:r>
        <w:rPr>
          <w:rFonts w:ascii="Times New Roman" w:hAnsi="黑体" w:eastAsia="黑体"/>
          <w:b w:val="0"/>
        </w:rPr>
        <w:t>三、主要修订内容</w:t>
      </w:r>
    </w:p>
    <w:p w14:paraId="06DD7962">
      <w:pPr>
        <w:pStyle w:val="19"/>
        <w:widowControl w:val="0"/>
        <w:spacing w:before="0" w:after="0" w:line="600" w:lineRule="exact"/>
        <w:ind w:firstLine="640" w:firstLineChars="200"/>
        <w:jc w:val="both"/>
        <w:rPr>
          <w:rFonts w:ascii="Times New Roman" w:eastAsia="仿宋_GB2312"/>
          <w:sz w:val="32"/>
        </w:rPr>
      </w:pPr>
      <w:r>
        <w:rPr>
          <w:rFonts w:ascii="Times New Roman" w:eastAsia="仿宋_GB2312"/>
          <w:sz w:val="32"/>
        </w:rPr>
        <w:t>本次修订严格遵循</w:t>
      </w:r>
      <w:r>
        <w:rPr>
          <w:rFonts w:ascii="Times New Roman" w:eastAsia="仿宋_GB2312"/>
          <w:bCs/>
          <w:sz w:val="32"/>
        </w:rPr>
        <w:t>上下一致、标准统一、因地制宜</w:t>
      </w:r>
      <w:r>
        <w:rPr>
          <w:rFonts w:ascii="Times New Roman" w:eastAsia="仿宋_GB2312"/>
          <w:sz w:val="32"/>
        </w:rPr>
        <w:t>原则，全面对标省、市预案框架与核心条款，结合昆山实际优化完善，主要修订内容如下：</w:t>
      </w:r>
    </w:p>
    <w:p w14:paraId="7986639D">
      <w:pPr>
        <w:pStyle w:val="19"/>
        <w:widowControl w:val="0"/>
        <w:spacing w:before="0" w:after="0" w:line="600" w:lineRule="exact"/>
        <w:ind w:firstLine="640" w:firstLineChars="200"/>
        <w:jc w:val="both"/>
        <w:rPr>
          <w:rFonts w:ascii="Times New Roman" w:eastAsia="仿宋_GB2312"/>
          <w:sz w:val="32"/>
        </w:rPr>
      </w:pPr>
      <w:r>
        <w:rPr>
          <w:rFonts w:hint="eastAsia" w:ascii="Times New Roman" w:eastAsia="仿宋_GB2312"/>
          <w:sz w:val="32"/>
        </w:rPr>
        <w:t xml:space="preserve">1. </w:t>
      </w:r>
      <w:r>
        <w:rPr>
          <w:rFonts w:ascii="Times New Roman" w:eastAsia="仿宋_GB2312"/>
          <w:sz w:val="32"/>
        </w:rPr>
        <w:t>重构应急组织体系。将原“重污染天气应急工作协调小组”调整为</w:t>
      </w:r>
      <w:r>
        <w:rPr>
          <w:rFonts w:ascii="Times New Roman" w:eastAsia="仿宋_GB2312"/>
          <w:bCs/>
          <w:sz w:val="32"/>
        </w:rPr>
        <w:t>昆山市污防和阳保委员会</w:t>
      </w:r>
      <w:r>
        <w:rPr>
          <w:rFonts w:ascii="Times New Roman" w:eastAsia="仿宋_GB2312"/>
          <w:sz w:val="32"/>
        </w:rPr>
        <w:t>，作为全市重污染天气应急指挥机构；办公室承担日常指挥、会商研判、指令下达、总结上报、区域联动等工作，明确各成员单位职责清单，强化部门协同联动。</w:t>
      </w:r>
    </w:p>
    <w:p w14:paraId="609E2BBD">
      <w:pPr>
        <w:pStyle w:val="19"/>
        <w:widowControl w:val="0"/>
        <w:spacing w:before="0" w:after="0" w:line="600" w:lineRule="exact"/>
        <w:ind w:firstLine="640" w:firstLineChars="200"/>
        <w:jc w:val="both"/>
        <w:rPr>
          <w:rFonts w:ascii="Times New Roman" w:eastAsia="仿宋_GB2312"/>
          <w:sz w:val="32"/>
        </w:rPr>
      </w:pPr>
      <w:r>
        <w:rPr>
          <w:rFonts w:hint="eastAsia" w:ascii="Times New Roman" w:eastAsia="仿宋_GB2312"/>
          <w:sz w:val="32"/>
        </w:rPr>
        <w:t xml:space="preserve">2. </w:t>
      </w:r>
      <w:r>
        <w:rPr>
          <w:rFonts w:ascii="Times New Roman" w:eastAsia="仿宋_GB2312"/>
          <w:sz w:val="32"/>
        </w:rPr>
        <w:t>规范应急响应与减排要求。黄色预警启动Ⅲ级响应、橙色预警启动Ⅱ级响应、红色预警启动Ⅰ级响应；明确SO₂、NOₓ、PM、VOCs减排比例不低于苏州市规定（黄色10%、橙色20%、红色30%），SO₂与NOₓ比例可结合实际调整，但二者之和不低于总体要求。</w:t>
      </w:r>
    </w:p>
    <w:p w14:paraId="4DB3D1DA">
      <w:pPr>
        <w:pStyle w:val="19"/>
        <w:widowControl w:val="0"/>
        <w:spacing w:before="0" w:after="0" w:line="600" w:lineRule="exact"/>
        <w:ind w:firstLine="640" w:firstLineChars="200"/>
        <w:jc w:val="both"/>
        <w:rPr>
          <w:rFonts w:ascii="Times New Roman" w:eastAsia="仿宋_GB2312"/>
          <w:sz w:val="32"/>
        </w:rPr>
      </w:pPr>
      <w:r>
        <w:rPr>
          <w:rFonts w:hint="eastAsia" w:ascii="Times New Roman" w:eastAsia="仿宋_GB2312"/>
          <w:sz w:val="32"/>
        </w:rPr>
        <w:t>3. 完善各</w:t>
      </w:r>
      <w:r>
        <w:rPr>
          <w:rFonts w:ascii="Times New Roman" w:eastAsia="仿宋_GB2312"/>
          <w:sz w:val="32"/>
        </w:rPr>
        <w:t>成员单位职责分工。对照苏州市预案</w:t>
      </w:r>
      <w:r>
        <w:rPr>
          <w:rFonts w:hint="eastAsia" w:ascii="Times New Roman" w:eastAsia="仿宋_GB2312"/>
          <w:sz w:val="32"/>
        </w:rPr>
        <w:t>修改完善了我市重污染天气应对工作各成员单位职责内容。</w:t>
      </w:r>
    </w:p>
    <w:sectPr>
      <w:footerReference r:id="rId3" w:type="default"/>
      <w:footerReference r:id="rId4" w:type="even"/>
      <w:pgSz w:w="11907" w:h="16839"/>
      <w:pgMar w:top="2098" w:right="1361" w:bottom="1417" w:left="1587" w:header="680" w:footer="1247" w:gutter="0"/>
      <w:cols w:space="720" w:num="1"/>
      <w:docGrid w:type="linesAndChars" w:linePitch="605" w:charSpace="-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4119">
    <w:pPr>
      <w:pStyle w:val="8"/>
      <w:snapToGrid/>
      <w:ind w:right="320" w:rightChars="100"/>
      <w:jc w:val="right"/>
      <w:rPr>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Page \* MERGEFORMAT </w:instrText>
    </w:r>
    <w:r>
      <w:rPr>
        <w:rFonts w:hint="eastAsia" w:ascii="宋体" w:hAnsi="宋体" w:eastAsia="宋体"/>
        <w:sz w:val="28"/>
      </w:rPr>
      <w:fldChar w:fldCharType="separate"/>
    </w:r>
    <w:r>
      <w:rPr>
        <w:rFonts w:hint="eastAsia" w:ascii="宋体" w:hAnsi="宋体" w:eastAsia="宋体"/>
        <w:sz w:val="28"/>
      </w:rPr>
      <w:t>1</w:t>
    </w:r>
    <w:r>
      <w:rPr>
        <w:rFonts w:hint="eastAsia" w:ascii="宋体" w:hAnsi="宋体" w:eastAsia="宋体"/>
        <w:sz w:val="28"/>
      </w:rPr>
      <w:fldChar w:fldCharType="end"/>
    </w:r>
    <w:r>
      <w:rPr>
        <w:rFonts w:hint="eastAsia"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C018">
    <w:pPr>
      <w:pStyle w:val="8"/>
      <w:snapToGrid/>
      <w:ind w:left="320" w:leftChars="100"/>
      <w:rPr>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Page \* MERGEFORMAT </w:instrText>
    </w:r>
    <w:r>
      <w:rPr>
        <w:rFonts w:hint="eastAsia" w:ascii="宋体" w:hAnsi="宋体" w:eastAsia="宋体"/>
        <w:sz w:val="28"/>
      </w:rPr>
      <w:fldChar w:fldCharType="separate"/>
    </w:r>
    <w:r>
      <w:rPr>
        <w:rFonts w:hint="eastAsia"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60"/>
  <w:drawingGridVerticalSpacing w:val="605"/>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E21"/>
    <w:rsid w:val="00047FCD"/>
    <w:rsid w:val="0007296A"/>
    <w:rsid w:val="000F25D0"/>
    <w:rsid w:val="00141850"/>
    <w:rsid w:val="001D73D1"/>
    <w:rsid w:val="001E2BE0"/>
    <w:rsid w:val="00285E21"/>
    <w:rsid w:val="002A576F"/>
    <w:rsid w:val="002F51BC"/>
    <w:rsid w:val="003612FC"/>
    <w:rsid w:val="00383E6A"/>
    <w:rsid w:val="003B4538"/>
    <w:rsid w:val="00524A57"/>
    <w:rsid w:val="006011D1"/>
    <w:rsid w:val="00645479"/>
    <w:rsid w:val="00685E40"/>
    <w:rsid w:val="00736AB7"/>
    <w:rsid w:val="00880AED"/>
    <w:rsid w:val="00885259"/>
    <w:rsid w:val="009164FD"/>
    <w:rsid w:val="00921373"/>
    <w:rsid w:val="00A95899"/>
    <w:rsid w:val="00AB11E3"/>
    <w:rsid w:val="00BC7B71"/>
    <w:rsid w:val="00CB3EA3"/>
    <w:rsid w:val="00E4547B"/>
    <w:rsid w:val="00EE4D34"/>
    <w:rsid w:val="00F3123F"/>
    <w:rsid w:val="00F43C43"/>
    <w:rsid w:val="00F809EC"/>
    <w:rsid w:val="F7E70581"/>
    <w:rsid w:val="FFDCE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sz w:val="32"/>
      <w:lang w:val="en-US" w:eastAsia="zh-CN" w:bidi="ar-SA"/>
    </w:rPr>
  </w:style>
  <w:style w:type="paragraph" w:styleId="2">
    <w:name w:val="heading 1"/>
    <w:qFormat/>
    <w:uiPriority w:val="9"/>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unhideWhenUsed/>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semiHidden/>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semiHidden/>
    <w:unhideWhenUsed/>
    <w:qFormat/>
    <w:uiPriority w:val="9"/>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semiHidden/>
    <w:unhideWhenUsed/>
    <w:qFormat/>
    <w:uiPriority w:val="9"/>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semiHidden/>
    <w:unhideWhenUsed/>
    <w:qFormat/>
    <w:uiPriority w:val="9"/>
    <w:pPr>
      <w:spacing w:before="240" w:after="120" w:line="288" w:lineRule="auto"/>
      <w:outlineLvl w:val="5"/>
    </w:pPr>
    <w:rPr>
      <w:rFonts w:ascii="Arial" w:hAnsi="Arial" w:eastAsia="等线" w:cs="Arial"/>
      <w:b/>
      <w:bCs/>
      <w:sz w:val="24"/>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2"/>
    <w:unhideWhenUsed/>
    <w:qFormat/>
    <w:uiPriority w:val="99"/>
    <w:pPr>
      <w:tabs>
        <w:tab w:val="center" w:pos="4153"/>
        <w:tab w:val="right" w:pos="8306"/>
      </w:tabs>
      <w:snapToGrid w:val="0"/>
    </w:pPr>
    <w:rPr>
      <w:sz w:val="18"/>
      <w:szCs w:val="18"/>
    </w:rPr>
  </w:style>
  <w:style w:type="paragraph" w:styleId="9">
    <w:name w:val="header"/>
    <w:basedOn w:val="1"/>
    <w:link w:val="21"/>
    <w:unhideWhenUsed/>
    <w:qFormat/>
    <w:uiPriority w:val="99"/>
    <w:pPr>
      <w:tabs>
        <w:tab w:val="center" w:pos="4153"/>
        <w:tab w:val="right" w:pos="8306"/>
      </w:tabs>
      <w:snapToGrid w:val="0"/>
      <w:jc w:val="center"/>
    </w:pPr>
    <w:rPr>
      <w:sz w:val="18"/>
      <w:szCs w:val="18"/>
    </w:rPr>
  </w:style>
  <w:style w:type="paragraph" w:styleId="10">
    <w:name w:val="footnote text"/>
    <w:link w:val="18"/>
    <w:semiHidden/>
    <w:unhideWhenUsed/>
    <w:qFormat/>
    <w:uiPriority w:val="99"/>
    <w:rPr>
      <w:rFonts w:ascii="Times New Roman" w:hAnsi="Times New Roman" w:cs="Times New Roman" w:eastAsiaTheme="minorEastAsia"/>
      <w:lang w:val="en-US" w:eastAsia="zh-CN" w:bidi="ar-SA"/>
    </w:rPr>
  </w:style>
  <w:style w:type="paragraph" w:styleId="11">
    <w:name w:val="Title"/>
    <w:qFormat/>
    <w:uiPriority w:val="10"/>
    <w:pPr>
      <w:spacing w:before="480" w:after="480" w:line="288" w:lineRule="auto"/>
    </w:pPr>
    <w:rPr>
      <w:rFonts w:ascii="Arial" w:hAnsi="Arial" w:eastAsia="等线" w:cs="Arial"/>
      <w:b/>
      <w:bCs/>
      <w:sz w:val="52"/>
      <w:szCs w:val="52"/>
      <w:lang w:val="en-US" w:eastAsia="zh-CN" w:bidi="ar-SA"/>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customStyle="1" w:styleId="16">
    <w:name w:val="要点1"/>
    <w:qFormat/>
    <w:uiPriority w:val="0"/>
    <w:rPr>
      <w:rFonts w:ascii="Times New Roman" w:hAnsi="Times New Roman" w:cs="Times New Roman" w:eastAsiaTheme="minorEastAsia"/>
      <w:b/>
      <w:bCs/>
      <w:lang w:val="en-US" w:eastAsia="zh-CN" w:bidi="ar-SA"/>
    </w:rPr>
  </w:style>
  <w:style w:type="paragraph" w:styleId="17">
    <w:name w:val="List Paragraph"/>
    <w:qFormat/>
    <w:uiPriority w:val="0"/>
    <w:rPr>
      <w:rFonts w:ascii="Times New Roman" w:hAnsi="Times New Roman" w:cs="Times New Roman" w:eastAsiaTheme="minorEastAsia"/>
      <w:lang w:val="en-US" w:eastAsia="zh-CN" w:bidi="ar-SA"/>
    </w:rPr>
  </w:style>
  <w:style w:type="character" w:customStyle="1" w:styleId="18">
    <w:name w:val="脚注文本 字符"/>
    <w:link w:val="10"/>
    <w:semiHidden/>
    <w:unhideWhenUsed/>
    <w:qFormat/>
    <w:uiPriority w:val="99"/>
    <w:rPr>
      <w:sz w:val="20"/>
      <w:szCs w:val="20"/>
    </w:rPr>
  </w:style>
  <w:style w:type="paragraph" w:customStyle="1" w:styleId="19">
    <w:name w:val="_Style 16"/>
    <w:qFormat/>
    <w:uiPriority w:val="0"/>
    <w:pPr>
      <w:spacing w:before="120" w:after="120" w:line="288" w:lineRule="auto"/>
    </w:pPr>
    <w:rPr>
      <w:rFonts w:ascii="Arial" w:hAnsi="Arial" w:eastAsia="等线" w:cs="Arial"/>
      <w:sz w:val="22"/>
      <w:szCs w:val="22"/>
      <w:lang w:val="en-US" w:eastAsia="zh-CN" w:bidi="ar-SA"/>
    </w:rPr>
  </w:style>
  <w:style w:type="paragraph" w:customStyle="1" w:styleId="20">
    <w:name w:val="_Style 17"/>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1">
    <w:name w:val="页眉 字符"/>
    <w:basedOn w:val="13"/>
    <w:link w:val="9"/>
    <w:qFormat/>
    <w:uiPriority w:val="99"/>
    <w:rPr>
      <w:sz w:val="18"/>
      <w:szCs w:val="18"/>
    </w:rPr>
  </w:style>
  <w:style w:type="character" w:customStyle="1" w:styleId="22">
    <w:name w:val="页脚 字符"/>
    <w:basedOn w:val="13"/>
    <w:link w:val="8"/>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Words>
  <Characters>1305</Characters>
  <Lines>10</Lines>
  <Paragraphs>3</Paragraphs>
  <TotalTime>1</TotalTime>
  <ScaleCrop>false</ScaleCrop>
  <LinksUpToDate>false</LinksUpToDate>
  <CharactersWithSpaces>1530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2026-04-09T22:25:00Z</dcterms:created>
  <dc:creator>Un-named</dc:creator>
  <cp:lastModifiedBy>user</cp:lastModifiedBy>
  <dcterms:modified xsi:type="dcterms:W3CDTF">2026-05-20T16:08:35Z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948D168C0A08E9AB87660D6AB98A9068_42</vt:lpwstr>
  </property>
</Properties>
</file>