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94D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ajorEastAsia"/>
          <w:sz w:val="44"/>
          <w:szCs w:val="44"/>
          <w:lang w:val="en-US" w:eastAsia="zh-CN"/>
        </w:rPr>
      </w:pPr>
    </w:p>
    <w:p w14:paraId="2F6CD7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昆山</w:t>
      </w:r>
      <w:r>
        <w:rPr>
          <w:rFonts w:hint="default" w:ascii="Times New Roman" w:hAnsi="Times New Roman" w:eastAsia="方正小标宋简体" w:cs="Times New Roman"/>
          <w:sz w:val="44"/>
          <w:szCs w:val="44"/>
        </w:rPr>
        <w:t>市国民经济和社会发展第十五个五年规划纲要</w:t>
      </w:r>
    </w:p>
    <w:p w14:paraId="0D7B30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sz w:val="32"/>
          <w:szCs w:val="32"/>
          <w:lang w:eastAsia="zh-CN"/>
        </w:rPr>
      </w:pPr>
    </w:p>
    <w:p w14:paraId="09F70A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lang w:eastAsia="zh-CN"/>
        </w:rPr>
        <w:t>）</w:t>
      </w:r>
    </w:p>
    <w:p w14:paraId="21FE91F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rPr>
      </w:pPr>
    </w:p>
    <w:p w14:paraId="59124800">
      <w:pPr>
        <w:spacing w:after="0" w:line="58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五”时期（2026—2030年），是我国基本实现社会主义现代化夯实基础、全面发力的关键时期，是昆山全面建成现代化II型大城市、基本实现社会主义现代化的攻坚突破期。展望未来五年，昆山既面临转型升级战略机遇，也面临深刻复杂风险挑战，要积极识变应变求变，拉高发展标杆、跳出县域思维，巩固发展优势、突破发展瓶颈、提高质量效益，全力以赴把总书记“勾画现代化目标”殷殷嘱托转化为中国式现代化的现实图景。</w:t>
      </w:r>
    </w:p>
    <w:p w14:paraId="74B449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、发展基础</w:t>
      </w:r>
    </w:p>
    <w:p w14:paraId="0F6F11EF">
      <w:pPr>
        <w:keepNext w:val="0"/>
        <w:keepLines w:val="0"/>
        <w:pageBreakBefore w:val="0"/>
        <w:widowControl/>
        <w:suppressLineNumbers w:val="0"/>
        <w:kinsoku/>
        <w:wordWrap/>
        <w:overflowPunct/>
        <w:topLinePunct w:val="0"/>
        <w:autoSpaceDE w:val="0"/>
        <w:autoSpaceDN/>
        <w:bidi w:val="0"/>
        <w:adjustRightInd w:val="0"/>
        <w:snapToGrid/>
        <w:spacing w:before="0" w:beforeAutospacing="0" w:afterAutospacing="0" w:line="600" w:lineRule="exact"/>
        <w:ind w:left="0" w:right="0" w:firstLine="652" w:firstLineChars="0"/>
        <w:jc w:val="both"/>
        <w:textAlignment w:val="auto"/>
        <w:rPr>
          <w:rFonts w:hint="default" w:ascii="Times New Roman" w:hAnsi="Times New Roman" w:eastAsia="仿宋_GB2312" w:cs="Times New Roman"/>
          <w:color w:val="000000"/>
          <w:kern w:val="0"/>
          <w:sz w:val="32"/>
          <w:szCs w:val="32"/>
          <w:highlight w:val="none"/>
          <w:u w:val="none" w:color="auto"/>
          <w:lang w:val="en-US" w:eastAsia="zh-CN" w:bidi="ar"/>
        </w:rPr>
      </w:pPr>
      <w:r>
        <w:rPr>
          <w:rFonts w:hint="default" w:ascii="Times New Roman" w:hAnsi="Times New Roman" w:eastAsia="仿宋_GB2312" w:cs="Times New Roman"/>
          <w:color w:val="000000"/>
          <w:kern w:val="0"/>
          <w:sz w:val="32"/>
          <w:szCs w:val="32"/>
          <w:highlight w:val="none"/>
          <w:u w:val="none" w:color="auto"/>
          <w:lang w:val="en-US" w:eastAsia="zh-CN" w:bidi="ar"/>
        </w:rPr>
        <w:t>“十四五”以来，昆山坚持以习近平新时代中国特色社会主义思想为指导，全面贯彻落实党的二十大和二十届二中、三中、四中全会精神，深入贯彻习近平总书记对江苏、苏州工作重要讲话精神，贯彻落实省委省政府和苏州市委市政府工作要求，深入实施12项现代化建设行动计划，经济社会高质量发展取得明显成效。</w:t>
      </w:r>
      <w:r>
        <w:rPr>
          <w:rFonts w:hint="default" w:ascii="Times New Roman" w:hAnsi="Times New Roman" w:eastAsia="楷体_GB2312" w:cs="Times New Roman"/>
          <w:b/>
          <w:bCs/>
          <w:color w:val="000000"/>
          <w:kern w:val="0"/>
          <w:sz w:val="32"/>
          <w:szCs w:val="32"/>
          <w:highlight w:val="none"/>
          <w:u w:val="none" w:color="auto"/>
          <w:lang w:val="en-US" w:eastAsia="zh-CN" w:bidi="ar"/>
        </w:rPr>
        <w:t>综合实力跃上新台阶</w:t>
      </w:r>
      <w:r>
        <w:rPr>
          <w:rFonts w:hint="default" w:ascii="Times New Roman" w:hAnsi="Times New Roman" w:eastAsia="仿宋_GB2312" w:cs="Times New Roman"/>
          <w:color w:val="000000"/>
          <w:kern w:val="0"/>
          <w:sz w:val="32"/>
          <w:szCs w:val="32"/>
          <w:highlight w:val="none"/>
          <w:u w:val="none" w:color="auto"/>
          <w:lang w:val="en-US" w:eastAsia="zh-CN" w:bidi="ar"/>
        </w:rPr>
        <w:t>，地区生产总值突破5000亿元、2024年达5380亿元，“十四五”年均增长5%以上，综合实力连续21年位居全国百强县（市）首位。</w:t>
      </w:r>
      <w:r>
        <w:rPr>
          <w:rFonts w:hint="default" w:ascii="Times New Roman" w:hAnsi="Times New Roman" w:eastAsia="楷体_GB2312" w:cs="Times New Roman"/>
          <w:b/>
          <w:bCs/>
          <w:color w:val="000000"/>
          <w:kern w:val="0"/>
          <w:sz w:val="32"/>
          <w:szCs w:val="32"/>
          <w:highlight w:val="none"/>
          <w:u w:val="none" w:color="auto"/>
          <w:lang w:val="en-US" w:eastAsia="zh-CN" w:bidi="ar"/>
        </w:rPr>
        <w:t>产业集群焕发新活力</w:t>
      </w:r>
      <w:r>
        <w:rPr>
          <w:rFonts w:hint="default" w:ascii="Times New Roman" w:hAnsi="Times New Roman" w:eastAsia="仿宋_GB2312" w:cs="Times New Roman"/>
          <w:color w:val="000000"/>
          <w:kern w:val="0"/>
          <w:sz w:val="32"/>
          <w:szCs w:val="32"/>
          <w:highlight w:val="none"/>
          <w:u w:val="none" w:color="auto"/>
          <w:lang w:val="en-US" w:eastAsia="zh-CN" w:bidi="ar"/>
        </w:rPr>
        <w:t>，</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规上工业产值突破1.2万亿元，形成7000亿级的电子信息和3000亿级的装备制造两大主导产业集群，连续三年位列中国工业百强县市榜首，培育壮大人工智能、智能网联汽车、绿色低碳、低空经济等新增长点，服务业和制造业深度融合，生产性服务业占服务业增加值比重提升至52%。</w:t>
      </w:r>
      <w:r>
        <w:rPr>
          <w:rFonts w:hint="default" w:ascii="Times New Roman" w:hAnsi="Times New Roman" w:eastAsia="楷体_GB2312" w:cs="Times New Roman"/>
          <w:b/>
          <w:bCs/>
          <w:color w:val="000000"/>
          <w:kern w:val="0"/>
          <w:sz w:val="32"/>
          <w:szCs w:val="32"/>
          <w:highlight w:val="none"/>
          <w:u w:val="none" w:color="auto"/>
          <w:lang w:val="en-US" w:eastAsia="zh-CN" w:bidi="ar"/>
        </w:rPr>
        <w:t>科创能力实现新提升</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深时数字地球国际大科学计划获国务院批复，昆山杜克大学获批建设全国首批国际合作教育样板区和省级高校重点实验室。国家高新技术企业突破3500家，累计认定国家级专精特新“小巨人”企业86家，规上工业企业研发机构动态全覆盖，获评国家知识产权强县建设示范县。迭代升级招才引智政策，累计引进海内外高层次人才2.2万余名。</w:t>
      </w:r>
      <w:r>
        <w:rPr>
          <w:rFonts w:hint="default" w:ascii="Times New Roman" w:hAnsi="Times New Roman" w:eastAsia="楷体_GB2312" w:cs="Times New Roman"/>
          <w:b/>
          <w:bCs/>
          <w:color w:val="000000"/>
          <w:kern w:val="0"/>
          <w:sz w:val="32"/>
          <w:szCs w:val="32"/>
          <w:highlight w:val="none"/>
          <w:u w:val="none" w:color="auto"/>
          <w:lang w:val="en-US" w:eastAsia="zh-CN" w:bidi="ar"/>
        </w:rPr>
        <w:t>改革开放获得新突破</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持续擦亮“昆如意”营商服务品牌，土地要素市场化改革深入推进，高水平建设昆山深化两岸产业合作试验区，全国首个两岸特色的金改区获批建设。昆山纳入虹桥国际开放枢纽北向拓展带，锦溪、周庄、淀山湖三镇列入长三角生态绿色一体化发展示范区协调区。开放型经济更具特色，进出口总额突破1000亿美元，获批建设进口贸易促进创新示范区，荣获“国际咖啡产业之都”称号。</w:t>
      </w:r>
      <w:r>
        <w:rPr>
          <w:rFonts w:hint="default" w:ascii="Times New Roman" w:hAnsi="Times New Roman" w:eastAsia="楷体_GB2312" w:cs="Times New Roman"/>
          <w:b/>
          <w:bCs/>
          <w:color w:val="000000"/>
          <w:kern w:val="0"/>
          <w:sz w:val="32"/>
          <w:szCs w:val="32"/>
          <w:highlight w:val="none"/>
          <w:u w:val="none" w:color="auto"/>
          <w:lang w:val="en-US" w:eastAsia="zh-CN" w:bidi="ar"/>
        </w:rPr>
        <w:t>现代城市展现新形象</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跻身全国Ⅱ型大城市行列，轨交11号线建成投用，基本形成集高铁、高速、高架、轨交于一体的综合交通运输体系。高标准规划建设“4+2+N”重点片区体系，奥体中心、留晖公园、大西门商业街建成投用，夏驾河景观提升出新。实施老旧小区改造和城市基础设施建设，“十四五”时期改造老旧小区50个、城中村39个。社会治理安全稳定，</w:t>
      </w:r>
      <w:r>
        <w:rPr>
          <w:rFonts w:hint="default" w:ascii="Times New Roman" w:hAnsi="Times New Roman" w:eastAsia="仿宋_GB2312" w:cs="Times New Roman"/>
          <w:color w:val="000000"/>
          <w:kern w:val="0"/>
          <w:sz w:val="32"/>
          <w:szCs w:val="32"/>
          <w:highlight w:val="none"/>
          <w:u w:val="none" w:color="auto"/>
          <w:lang w:val="en-US" w:eastAsia="zh-CN" w:bidi="ar"/>
        </w:rPr>
        <w:t>安全生产“六化”建设落地见效，高标准运作网信、网安“双网融合”网络综合治理中心，获评平安中国建设示范县。</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生态底色更加鲜明，</w:t>
      </w:r>
      <w:r>
        <w:rPr>
          <w:rFonts w:hint="default" w:ascii="Times New Roman" w:hAnsi="Times New Roman" w:eastAsia="仿宋_GB2312" w:cs="Times New Roman"/>
          <w:color w:val="000000"/>
          <w:kern w:val="0"/>
          <w:sz w:val="32"/>
          <w:szCs w:val="32"/>
          <w:highlight w:val="none"/>
          <w:u w:val="none" w:color="auto"/>
          <w:lang w:val="en-US" w:eastAsia="zh-CN" w:bidi="ar"/>
        </w:rPr>
        <w:t>蓝天、碧水、净土三大攻坚战成效显著，获评国家生态文明建设示范市。绿色低碳加快转型，建设长三角（昆山）国际低碳产业创新园区，累计获评国家级绿色工厂15家，昆山高新区获评国家级绿色工业园区。</w:t>
      </w:r>
      <w:r>
        <w:rPr>
          <w:rFonts w:hint="default" w:ascii="Times New Roman" w:hAnsi="Times New Roman" w:eastAsia="楷体_GB2312" w:cs="Times New Roman"/>
          <w:b/>
          <w:bCs/>
          <w:color w:val="000000"/>
          <w:kern w:val="0"/>
          <w:sz w:val="32"/>
          <w:szCs w:val="32"/>
          <w:highlight w:val="none"/>
          <w:u w:val="none" w:color="auto"/>
          <w:lang w:val="en-US" w:eastAsia="zh-CN" w:bidi="ar"/>
        </w:rPr>
        <w:t>民生福祉实现新改善</w:t>
      </w:r>
      <w:r>
        <w:rPr>
          <w:rFonts w:hint="default" w:ascii="Times New Roman" w:hAnsi="Times New Roman" w:eastAsia="仿宋_GB2312" w:cs="Times New Roman"/>
          <w:color w:val="000000"/>
          <w:kern w:val="0"/>
          <w:sz w:val="32"/>
          <w:szCs w:val="32"/>
          <w:highlight w:val="none"/>
          <w:u w:val="none" w:color="auto"/>
          <w:lang w:val="en-US" w:eastAsia="zh-CN" w:bidi="ar"/>
        </w:rPr>
        <w:t>，深化户籍制度改革，推行以经常居住地登记户口制度，“十四五”以来户籍人口增加24.5万人，</w:t>
      </w:r>
      <w:r>
        <w:rPr>
          <w:rFonts w:hint="default" w:ascii="Times New Roman" w:hAnsi="Times New Roman" w:eastAsia="仿宋_GB2312" w:cs="Times New Roman"/>
          <w:b w:val="0"/>
          <w:bCs w:val="0"/>
          <w:color w:val="000000"/>
          <w:kern w:val="0"/>
          <w:sz w:val="32"/>
          <w:szCs w:val="32"/>
          <w:highlight w:val="none"/>
          <w:u w:val="none" w:color="auto"/>
          <w:lang w:val="en-US" w:eastAsia="zh-CN" w:bidi="ar"/>
        </w:rPr>
        <w:t>居民人均可支配收入与经济增长基本同步。公共服务优质均衡，建成投用72个学校项目，新增学位7.5万个，东、西部医疗中心建成运营，市第一人民医院、中医医院成功创建“三甲”医院。区域性养老服务中心实现区镇全覆盖，普惠性托幼机构托位数达9250个，获批建设国家儿童友好城市。</w:t>
      </w:r>
      <w:r>
        <w:rPr>
          <w:rFonts w:hint="default" w:ascii="Times New Roman" w:hAnsi="Times New Roman" w:eastAsia="仿宋_GB2312" w:cs="Times New Roman"/>
          <w:color w:val="000000"/>
          <w:kern w:val="0"/>
          <w:sz w:val="32"/>
          <w:szCs w:val="32"/>
          <w:highlight w:val="none"/>
          <w:u w:val="none" w:color="auto"/>
          <w:lang w:val="en-US" w:eastAsia="zh-CN" w:bidi="ar"/>
        </w:rPr>
        <w:t>高水平推进全国文明城市建设，连续举办戏曲百戏（昆山）盛典、海峡两岸（昆山）中秋灯会、马拉松等文体旅活动。深入推进乡村振兴“五百行动”，入选国家乡村振兴示范县，村均总收入预计超1380万元，城乡居民收入比缩小至1.76:1。</w:t>
      </w:r>
    </w:p>
    <w:p w14:paraId="09EA13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、发展环境</w:t>
      </w:r>
    </w:p>
    <w:p w14:paraId="367EA909">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val="0"/>
          <w:bCs w:val="0"/>
          <w:color w:val="auto"/>
          <w:spacing w:val="0"/>
          <w:kern w:val="44"/>
          <w:sz w:val="32"/>
          <w:shd w:val="clear" w:color="auto" w:fill="auto"/>
          <w:lang w:val="en-US" w:eastAsia="zh-CN"/>
        </w:rPr>
        <w:t>总体来看，世界百年变局加速演进，国际力量对比深刻调整，新一轮科技革命和产业变革加速突破，我国经济基础稳、优势多、韧性强、潜能大，长期向好的支撑条件和基本趋势没有变，但发展不平衡不充分问题仍然突出，有效需求不足，国内大循环存在卡点堵点，新旧动能转换任务艰巨，重点领域还有风险隐患。</w:t>
      </w:r>
      <w:r>
        <w:rPr>
          <w:rFonts w:hint="default" w:ascii="Times New Roman" w:hAnsi="Times New Roman" w:eastAsia="仿宋_GB2312" w:cs="Times New Roman"/>
          <w:spacing w:val="0"/>
          <w:sz w:val="32"/>
          <w:szCs w:val="32"/>
          <w:lang w:val="en-US" w:eastAsia="zh-CN"/>
        </w:rPr>
        <w:t>“十五五”时期昆山既面临复杂严峻国际形势、日益加剧区域竞争，也面临自身发展瓶颈约束，机遇与挑战并存。</w:t>
      </w:r>
    </w:p>
    <w:p w14:paraId="5965FD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、指导思想</w:t>
      </w:r>
    </w:p>
    <w:p w14:paraId="6B0F328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600" w:lineRule="exact"/>
        <w:ind w:left="0" w:right="0" w:firstLine="640" w:firstLineChars="200"/>
        <w:jc w:val="both"/>
        <w:textAlignment w:val="auto"/>
        <w:outlineLvl w:val="9"/>
        <w:rPr>
          <w:rFonts w:hint="default" w:ascii="Times New Roman" w:hAnsi="Times New Roman" w:eastAsia="仿宋_GB2312" w:cs="Times New Roman"/>
          <w:kern w:val="2"/>
          <w:sz w:val="32"/>
          <w:szCs w:val="32"/>
          <w:highlight w:val="none"/>
          <w:u w:val="none" w:color="auto"/>
        </w:rPr>
      </w:pPr>
      <w:bookmarkStart w:id="0" w:name="_Toc4878"/>
      <w:bookmarkStart w:id="1" w:name="_Toc10257"/>
      <w:bookmarkStart w:id="2" w:name="_Toc32455"/>
      <w:r>
        <w:rPr>
          <w:rFonts w:hint="default" w:ascii="Times New Roman" w:hAnsi="Times New Roman" w:eastAsia="仿宋_GB2312" w:cs="Times New Roman"/>
          <w:kern w:val="2"/>
          <w:sz w:val="32"/>
          <w:szCs w:val="32"/>
          <w:highlight w:val="none"/>
          <w:u w:val="none" w:color="auto"/>
          <w:lang w:val="en-US" w:eastAsia="zh-CN" w:bidi="ar"/>
        </w:rPr>
        <w:t>全面贯彻习近平新时代中国特色社会主义思想，深入贯彻党的二十大和二十届历次中央全会精神，深入学习贯彻习近平总书记对江苏、对苏州工作系列重要讲话精神，统筹推进“五位一体”总体布局，协调推进“四个全面”战略布局，完整准确全面贯彻新发展理念，坚持稳中求进工作总基调，全面落实“四个走在前”“四个新”“4+1”“四个着力点”等重大任务，大力传承弘扬新时代“昆山之路”精神，以推动高质量发展为发展主题，以“结构动能转换、城市焕新塑形、全域提质增效”为发展主线，以“开放创新”为双轮驱动，以“产城人文”融合为实践路径，以人工智能赋能为核心引擎，加快打造全球知名的“智造之城”、临沪对台的“开放之城”、双向奔赴的“品质之城”、温润如玉的“幸福之城”，奋力在中国式现代化新征程中走在前、做示范。</w:t>
      </w:r>
      <w:bookmarkEnd w:id="0"/>
      <w:bookmarkEnd w:id="1"/>
      <w:bookmarkEnd w:id="2"/>
    </w:p>
    <w:p w14:paraId="60CC0A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功能定位</w:t>
      </w:r>
    </w:p>
    <w:p w14:paraId="4635D20C">
      <w:pPr>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2"/>
          <w:sz w:val="32"/>
          <w:szCs w:val="32"/>
          <w:highlight w:val="none"/>
          <w:u w:val="none" w:color="auto"/>
        </w:rPr>
      </w:pPr>
      <w:r>
        <w:rPr>
          <w:rFonts w:hint="default" w:ascii="Times New Roman" w:hAnsi="Times New Roman" w:eastAsia="楷体_GB2312" w:cs="Times New Roman"/>
          <w:b/>
          <w:bCs/>
          <w:color w:val="000000"/>
          <w:kern w:val="0"/>
          <w:sz w:val="32"/>
          <w:szCs w:val="32"/>
          <w:highlight w:val="none"/>
          <w:u w:val="none" w:color="auto"/>
          <w:lang w:val="en-US" w:eastAsia="zh-CN" w:bidi="ar"/>
        </w:rPr>
        <w:t>一是打造全球知名“智造之城”。</w:t>
      </w:r>
      <w:r>
        <w:rPr>
          <w:rFonts w:hint="default" w:ascii="Times New Roman" w:hAnsi="Times New Roman" w:eastAsia="仿宋_GB2312" w:cs="Times New Roman"/>
          <w:kern w:val="2"/>
          <w:sz w:val="32"/>
          <w:szCs w:val="32"/>
          <w:highlight w:val="none"/>
          <w:u w:val="none" w:color="auto"/>
          <w:lang w:val="en-US" w:eastAsia="zh-CN" w:bidi="ar"/>
        </w:rPr>
        <w:t>坚持把发展经济的着力点放在实体经济上，把确保供应链安全、推动新旧动能转换作为核心指向，把构建以龙头企业为牵引的创新体系作为主要抓手，把建立适应新质生产力的体制机制作为核心举措，着力做好“核心产业+、人工智能+、绿色低碳+”三篇文章，加快推动产业创新与科技创新深度融合，推动昆山从制造之城向智造之城转型。</w:t>
      </w:r>
    </w:p>
    <w:p w14:paraId="3CA68AD9">
      <w:pPr>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2"/>
          <w:sz w:val="32"/>
          <w:szCs w:val="32"/>
          <w:highlight w:val="none"/>
          <w:u w:val="none" w:color="auto"/>
        </w:rPr>
      </w:pPr>
      <w:r>
        <w:rPr>
          <w:rFonts w:hint="default" w:ascii="Times New Roman" w:hAnsi="Times New Roman" w:eastAsia="楷体_GB2312" w:cs="Times New Roman"/>
          <w:b/>
          <w:bCs/>
          <w:color w:val="000000"/>
          <w:kern w:val="0"/>
          <w:sz w:val="32"/>
          <w:szCs w:val="32"/>
          <w:highlight w:val="none"/>
          <w:u w:val="none" w:color="auto"/>
          <w:lang w:val="en-US" w:eastAsia="zh-CN" w:bidi="ar"/>
        </w:rPr>
        <w:t>二是打造临沪对台“开放之城”。</w:t>
      </w:r>
      <w:r>
        <w:rPr>
          <w:rFonts w:hint="default" w:ascii="Times New Roman" w:hAnsi="Times New Roman" w:eastAsia="仿宋_GB2312" w:cs="Times New Roman"/>
          <w:kern w:val="2"/>
          <w:sz w:val="32"/>
          <w:szCs w:val="32"/>
          <w:highlight w:val="none"/>
          <w:u w:val="none" w:color="auto"/>
          <w:lang w:val="en-US" w:eastAsia="zh-CN" w:bidi="ar"/>
        </w:rPr>
        <w:t>坚持扩大高水平对外开放，充分发挥好临沪对台的地缘优势，着力把“长三角一体协同共兴”作为关键支撑，把“开放型经济提质”作为战略基点，全面打造对接融入上海“第一站”、对台合作“第一城”，集聚更多高端资源，支持和服务好本地企业开展全球投资布局，努力将昆山建设成为链接国际国内两个市场的功能性节点城市。</w:t>
      </w:r>
    </w:p>
    <w:p w14:paraId="29A6CDF0">
      <w:pPr>
        <w:keepNext w:val="0"/>
        <w:keepLines w:val="0"/>
        <w:pageBreakBefore w:val="0"/>
        <w:kinsoku/>
        <w:wordWrap/>
        <w:overflowPunct/>
        <w:topLinePunct w:val="0"/>
        <w:autoSpaceDN/>
        <w:bidi w:val="0"/>
        <w:snapToGrid/>
        <w:spacing w:line="600" w:lineRule="exact"/>
        <w:ind w:firstLine="643" w:firstLineChars="200"/>
        <w:jc w:val="both"/>
        <w:textAlignment w:val="auto"/>
        <w:rPr>
          <w:rFonts w:hint="default" w:ascii="Times New Roman" w:hAnsi="Times New Roman" w:eastAsia="仿宋_GB2312" w:cs="Times New Roman"/>
          <w:b w:val="0"/>
          <w:bCs w:val="0"/>
          <w:color w:val="auto"/>
          <w:spacing w:val="0"/>
          <w:kern w:val="44"/>
          <w:sz w:val="32"/>
          <w:shd w:val="clear" w:color="auto" w:fill="auto"/>
          <w:lang w:val="en-US" w:eastAsia="zh-CN"/>
        </w:rPr>
      </w:pPr>
      <w:r>
        <w:rPr>
          <w:rFonts w:hint="default" w:ascii="Times New Roman" w:hAnsi="Times New Roman" w:eastAsia="楷体_GB2312" w:cs="Times New Roman"/>
          <w:b/>
          <w:bCs/>
          <w:color w:val="000000"/>
          <w:kern w:val="0"/>
          <w:sz w:val="32"/>
          <w:szCs w:val="32"/>
          <w:highlight w:val="none"/>
          <w:u w:val="none" w:color="auto"/>
          <w:lang w:val="en-US" w:eastAsia="zh-CN" w:bidi="ar"/>
        </w:rPr>
        <w:t>三是打造双向奔赴“品质之城”。</w:t>
      </w:r>
      <w:r>
        <w:rPr>
          <w:rFonts w:hint="default" w:ascii="Times New Roman" w:hAnsi="Times New Roman" w:eastAsia="仿宋_GB2312" w:cs="Times New Roman"/>
          <w:kern w:val="2"/>
          <w:sz w:val="32"/>
          <w:szCs w:val="32"/>
          <w:highlight w:val="none"/>
          <w:u w:val="none" w:color="auto"/>
          <w:lang w:val="en-US" w:eastAsia="zh-CN" w:bidi="ar"/>
        </w:rPr>
        <w:t>立足产城人深度融合、大主城提档升级，坚持精心规划、精致建设、精细管理、精明增长、精益涵养，大力实施城市更新改造，扎实推进乡村全面振兴，有序打造重点片区、和美乡村、青年城市、智能城区、美丽昆山，争取城市品质获得重大提升，</w:t>
      </w:r>
      <w:r>
        <w:rPr>
          <w:rFonts w:hint="default" w:ascii="Times New Roman" w:hAnsi="Times New Roman" w:eastAsia="仿宋_GB2312" w:cs="Times New Roman"/>
          <w:b w:val="0"/>
          <w:bCs w:val="0"/>
          <w:color w:val="auto"/>
          <w:spacing w:val="0"/>
          <w:kern w:val="44"/>
          <w:sz w:val="32"/>
          <w:shd w:val="clear" w:color="auto" w:fill="auto"/>
          <w:lang w:val="en-US" w:eastAsia="zh-CN"/>
        </w:rPr>
        <w:t>使昆山成为本地人扎根、外地人称道、年轻人奔赴的“强磁场”。</w:t>
      </w:r>
    </w:p>
    <w:p w14:paraId="623A9F16">
      <w:pPr>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2"/>
          <w:sz w:val="32"/>
          <w:szCs w:val="32"/>
          <w:highlight w:val="none"/>
          <w:u w:val="none" w:color="auto"/>
          <w:lang w:val="en-US" w:eastAsia="zh-CN" w:bidi="ar"/>
        </w:rPr>
      </w:pPr>
      <w:r>
        <w:rPr>
          <w:rFonts w:hint="default" w:ascii="Times New Roman" w:hAnsi="Times New Roman" w:eastAsia="楷体_GB2312" w:cs="Times New Roman"/>
          <w:b/>
          <w:bCs/>
          <w:color w:val="000000"/>
          <w:kern w:val="0"/>
          <w:sz w:val="32"/>
          <w:szCs w:val="32"/>
          <w:highlight w:val="none"/>
          <w:u w:val="none" w:color="auto"/>
          <w:lang w:val="en-US" w:eastAsia="zh-CN" w:bidi="ar"/>
        </w:rPr>
        <w:t>四是打造温润如玉“幸福之城”。</w:t>
      </w:r>
      <w:r>
        <w:rPr>
          <w:rFonts w:hint="default" w:ascii="Times New Roman" w:hAnsi="Times New Roman" w:eastAsia="仿宋_GB2312" w:cs="Times New Roman"/>
          <w:kern w:val="2"/>
          <w:sz w:val="32"/>
          <w:szCs w:val="32"/>
          <w:highlight w:val="none"/>
          <w:u w:val="none" w:color="auto"/>
          <w:lang w:val="en-US" w:eastAsia="zh-CN" w:bidi="ar"/>
        </w:rPr>
        <w:t>坚持以人为本、全龄友好，通过服务模式创新、治理模式创新，构筑全生命周期的公共服务体系、智能高效的现代市域治理体系，以服务保障力度彰显民生温度，以文化创新活力彰显城市魅力，以富民增收成色彰显幸福底色，全力将昆山打造成为每个新老市民都愿意长期工作生活的“幸福之城”。</w:t>
      </w:r>
    </w:p>
    <w:p w14:paraId="0D02C471">
      <w:pPr>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发展策略</w:t>
      </w:r>
    </w:p>
    <w:p w14:paraId="014D779A">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2"/>
          <w:sz w:val="32"/>
          <w:szCs w:val="32"/>
          <w:highlight w:val="none"/>
          <w:u w:val="none" w:color="auto"/>
          <w:lang w:val="en-US" w:eastAsia="zh-CN" w:bidi="ar"/>
        </w:rPr>
      </w:pPr>
      <w:r>
        <w:rPr>
          <w:rFonts w:hint="default" w:ascii="Times New Roman" w:hAnsi="Times New Roman" w:eastAsia="楷体_GB2312" w:cs="Times New Roman"/>
          <w:b/>
          <w:bCs/>
          <w:color w:val="000000"/>
          <w:kern w:val="0"/>
          <w:sz w:val="32"/>
          <w:szCs w:val="32"/>
          <w:highlight w:val="none"/>
          <w:u w:val="none" w:color="auto"/>
          <w:lang w:val="en-US" w:eastAsia="zh-CN" w:bidi="ar"/>
        </w:rPr>
        <w:t>1. 巩固优势产业底盘，加速新兴产业成势。</w:t>
      </w:r>
      <w:r>
        <w:rPr>
          <w:rFonts w:hint="default" w:ascii="Times New Roman" w:hAnsi="Times New Roman" w:eastAsia="仿宋_GB2312" w:cs="Times New Roman"/>
          <w:kern w:val="2"/>
          <w:sz w:val="32"/>
          <w:szCs w:val="32"/>
          <w:highlight w:val="none"/>
          <w:u w:val="none" w:color="auto"/>
          <w:lang w:val="en-US" w:eastAsia="zh-CN" w:bidi="ar"/>
        </w:rPr>
        <w:t>抢抓人工智能发展机遇，推动传统消费电子向新一代智能终端、消费电子向汽车电子、传统装备制造向高端智能制造“三个转型”，加快昆山从电子信息重镇向人工智能产业高地迭变。加快培育发展新兴支柱产业、特色产业集群和现代服务集群，推动产业结构从“一业独大”向“一超多强”转变。</w:t>
      </w:r>
    </w:p>
    <w:p w14:paraId="4CA51551">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Autospacing="0" w:line="600" w:lineRule="exact"/>
        <w:ind w:left="0" w:right="0" w:firstLine="643" w:firstLineChars="200"/>
        <w:jc w:val="left"/>
        <w:textAlignment w:val="auto"/>
        <w:rPr>
          <w:rFonts w:hint="default" w:ascii="Times New Roman" w:hAnsi="Times New Roman" w:eastAsia="仿宋_GB2312" w:cs="Times New Roman"/>
          <w:kern w:val="2"/>
          <w:sz w:val="32"/>
          <w:szCs w:val="32"/>
          <w:highlight w:val="none"/>
          <w:u w:val="none" w:color="auto"/>
        </w:rPr>
      </w:pPr>
      <w:r>
        <w:rPr>
          <w:rFonts w:hint="default" w:ascii="Times New Roman" w:hAnsi="Times New Roman" w:eastAsia="楷体_GB2312" w:cs="Times New Roman"/>
          <w:b/>
          <w:bCs/>
          <w:color w:val="000000"/>
          <w:kern w:val="0"/>
          <w:sz w:val="32"/>
          <w:szCs w:val="32"/>
          <w:highlight w:val="none"/>
          <w:u w:val="none" w:color="auto"/>
          <w:lang w:val="en-US" w:eastAsia="zh-CN" w:bidi="ar"/>
        </w:rPr>
        <w:t>2. 突出企业创新主体，促进四链深度协同。</w:t>
      </w:r>
      <w:r>
        <w:rPr>
          <w:rFonts w:hint="default" w:ascii="Times New Roman" w:hAnsi="Times New Roman" w:eastAsia="仿宋_GB2312" w:cs="Times New Roman"/>
          <w:kern w:val="2"/>
          <w:sz w:val="32"/>
          <w:szCs w:val="32"/>
          <w:highlight w:val="none"/>
          <w:u w:val="none" w:color="auto"/>
          <w:lang w:val="en-US" w:eastAsia="zh-CN" w:bidi="ar"/>
        </w:rPr>
        <w:t>坚持把科技创新和产业创新深度融合作为发展新质生产力的核心抓手，构建以链主企业为牵引的创新体系，建设一批以企业为主导的重大创新平台，强化技术攻关和成果产业化，壮大创新企业梯队。一体推进教育发展、科技创新、人才培养，聚焦产业急缺、企业亟需靶向引育“高精尖”人才和团队，建设人才友好型城市。</w:t>
      </w:r>
    </w:p>
    <w:p w14:paraId="186FF448">
      <w:pPr>
        <w:keepNext w:val="0"/>
        <w:keepLines w:val="0"/>
        <w:pageBreakBefore w:val="0"/>
        <w:widowControl w:val="0"/>
        <w:kinsoku/>
        <w:wordWrap/>
        <w:overflowPunct/>
        <w:topLinePunct w:val="0"/>
        <w:autoSpaceDE w:val="0"/>
        <w:autoSpaceDN/>
        <w:bidi w:val="0"/>
        <w:adjustRightInd w:val="0"/>
        <w:snapToGrid/>
        <w:spacing w:before="0" w:beforeLines="-2147483648" w:after="0" w:afterLines="-2147483648" w:line="600" w:lineRule="exact"/>
        <w:ind w:left="0" w:leftChars="0" w:right="0" w:rightChars="0" w:firstLine="643" w:firstLineChars="200"/>
        <w:jc w:val="left"/>
        <w:textAlignment w:val="auto"/>
        <w:outlineLvl w:val="9"/>
        <w:rPr>
          <w:rFonts w:hint="default" w:ascii="Times New Roman" w:hAnsi="Times New Roman" w:eastAsia="仿宋_GB2312" w:cs="Times New Roman"/>
          <w:kern w:val="2"/>
          <w:sz w:val="32"/>
          <w:szCs w:val="32"/>
          <w:highlight w:val="none"/>
          <w:u w:val="none" w:color="auto"/>
          <w:lang w:val="en-US" w:eastAsia="zh-CN" w:bidi="ar"/>
        </w:rPr>
      </w:pPr>
      <w:r>
        <w:rPr>
          <w:rFonts w:hint="default" w:ascii="Times New Roman" w:hAnsi="Times New Roman" w:eastAsia="楷体_GB2312" w:cs="Times New Roman"/>
          <w:b/>
          <w:bCs/>
          <w:color w:val="000000"/>
          <w:kern w:val="0"/>
          <w:sz w:val="32"/>
          <w:szCs w:val="32"/>
          <w:highlight w:val="none"/>
          <w:u w:val="none" w:color="auto"/>
          <w:lang w:val="en-US" w:eastAsia="zh-CN" w:bidi="ar"/>
        </w:rPr>
        <w:t>3. 建立完善新质机制，一体链接内外循环。</w:t>
      </w:r>
      <w:r>
        <w:rPr>
          <w:rFonts w:hint="default" w:ascii="Times New Roman" w:hAnsi="Times New Roman" w:eastAsia="仿宋_GB2312" w:cs="Times New Roman"/>
          <w:kern w:val="2"/>
          <w:sz w:val="32"/>
          <w:szCs w:val="32"/>
          <w:highlight w:val="none"/>
          <w:u w:val="none" w:color="auto"/>
          <w:lang w:val="en-US" w:eastAsia="zh-CN" w:bidi="ar"/>
        </w:rPr>
        <w:t>深入推进招商引资、土地利用、城市治理、公共服务等领域改革，建立适应新质生产力发展的体制机制。深度融入国内国际双循环新发展格局，鼓励企业在多元化布局中把更多核心环节留在昆山。鼓励本土企业巩固欧美日韩传统市场，积极拓展“一带一路”沿线国家市场，培育一批具有全球视野的跨国企业。</w:t>
      </w:r>
    </w:p>
    <w:p w14:paraId="756DBCE6">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600" w:lineRule="exact"/>
        <w:ind w:left="0" w:right="0" w:firstLine="643" w:firstLineChars="200"/>
        <w:jc w:val="left"/>
        <w:textAlignment w:val="auto"/>
        <w:rPr>
          <w:rFonts w:hint="default" w:ascii="Times New Roman" w:hAnsi="Times New Roman" w:eastAsia="仿宋_GB2312" w:cs="Times New Roman"/>
          <w:kern w:val="2"/>
          <w:sz w:val="32"/>
          <w:szCs w:val="32"/>
          <w:highlight w:val="none"/>
          <w:u w:val="none" w:color="auto"/>
          <w:lang w:val="en-US" w:eastAsia="zh-CN" w:bidi="ar"/>
        </w:rPr>
      </w:pPr>
      <w:r>
        <w:rPr>
          <w:rFonts w:hint="default" w:ascii="Times New Roman" w:hAnsi="Times New Roman" w:eastAsia="楷体_GB2312" w:cs="Times New Roman"/>
          <w:b/>
          <w:bCs/>
          <w:color w:val="000000"/>
          <w:kern w:val="0"/>
          <w:sz w:val="32"/>
          <w:szCs w:val="32"/>
          <w:highlight w:val="none"/>
          <w:u w:val="none" w:color="auto"/>
          <w:lang w:val="en-US" w:eastAsia="zh-CN" w:bidi="ar"/>
        </w:rPr>
        <w:t>4. 力推主城强心提质，深化产城人文融合。</w:t>
      </w:r>
      <w:r>
        <w:rPr>
          <w:rFonts w:hint="default" w:ascii="Times New Roman" w:hAnsi="Times New Roman" w:eastAsia="仿宋_GB2312" w:cs="Times New Roman"/>
          <w:bCs/>
          <w:color w:val="000000" w:themeColor="text1"/>
          <w:kern w:val="0"/>
          <w:sz w:val="32"/>
          <w:szCs w:val="32"/>
          <w14:textFill>
            <w14:solidFill>
              <w14:schemeClr w14:val="tx1"/>
            </w14:solidFill>
          </w14:textFill>
        </w:rPr>
        <w:t>坚持</w:t>
      </w:r>
      <w:r>
        <w:rPr>
          <w:rFonts w:hint="default" w:ascii="Times New Roman" w:hAnsi="Times New Roman" w:eastAsia="仿宋_GB2312" w:cs="Times New Roman"/>
          <w:bCs/>
          <w:color w:val="000000" w:themeColor="text1"/>
          <w:sz w:val="32"/>
          <w:szCs w:val="32"/>
          <w14:textFill>
            <w14:solidFill>
              <w14:schemeClr w14:val="tx1"/>
            </w14:solidFill>
          </w14:textFill>
        </w:rPr>
        <w:t>把做强中心主城作为提升城市能级的首位战略，全力推进青阳港中央商务区建设，大幅提升主城区集聚辐射带动能力。按照“宜工则工、宜商则商、宜游则游”理念，系统推进</w:t>
      </w:r>
      <w:r>
        <w:rPr>
          <w:rFonts w:hint="default" w:ascii="Times New Roman" w:hAnsi="Times New Roman" w:eastAsia="仿宋_GB2312" w:cs="Times New Roman"/>
          <w:bCs/>
          <w:color w:val="000000" w:themeColor="text1"/>
          <w:kern w:val="0"/>
          <w:sz w:val="32"/>
          <w:szCs w:val="32"/>
          <w14:textFill>
            <w14:solidFill>
              <w14:schemeClr w14:val="tx1"/>
            </w14:solidFill>
          </w14:textFill>
        </w:rPr>
        <w:t>重点片区建设，打造多中心、紧密型城市空间格局。强化区镇间</w:t>
      </w:r>
      <w:r>
        <w:rPr>
          <w:rFonts w:hint="default" w:ascii="Times New Roman" w:hAnsi="Times New Roman" w:eastAsia="仿宋_GB2312" w:cs="Times New Roman"/>
          <w:bCs/>
          <w:color w:val="000000" w:themeColor="text1"/>
          <w:sz w:val="32"/>
          <w:szCs w:val="32"/>
          <w14:textFill>
            <w14:solidFill>
              <w14:schemeClr w14:val="tx1"/>
            </w14:solidFill>
          </w14:textFill>
        </w:rPr>
        <w:t>组团错位发展，</w:t>
      </w:r>
      <w:r>
        <w:rPr>
          <w:rFonts w:hint="default" w:ascii="Times New Roman" w:hAnsi="Times New Roman" w:eastAsia="仿宋_GB2312" w:cs="Times New Roman"/>
          <w:bCs/>
          <w:color w:val="000000" w:themeColor="text1"/>
          <w:kern w:val="0"/>
          <w:sz w:val="32"/>
          <w:szCs w:val="32"/>
          <w14:textFill>
            <w14:solidFill>
              <w14:schemeClr w14:val="tx1"/>
            </w14:solidFill>
          </w14:textFill>
        </w:rPr>
        <w:t>构建形成“城市主核—重点片区—功能节点”的现代化</w:t>
      </w:r>
      <w:r>
        <w:rPr>
          <w:rFonts w:hint="default" w:ascii="Times New Roman" w:hAnsi="Times New Roman" w:cs="Times New Roman"/>
          <w:bCs/>
          <w:color w:val="000000" w:themeColor="text1"/>
          <w:kern w:val="0"/>
          <w:sz w:val="32"/>
          <w:szCs w:val="32"/>
          <w14:textFill>
            <w14:solidFill>
              <w14:schemeClr w14:val="tx1"/>
            </w14:solidFill>
          </w14:textFill>
        </w:rPr>
        <w:t>Ⅱ</w:t>
      </w:r>
      <w:r>
        <w:rPr>
          <w:rFonts w:hint="default" w:ascii="Times New Roman" w:hAnsi="Times New Roman" w:eastAsia="仿宋_GB2312" w:cs="Times New Roman"/>
          <w:bCs/>
          <w:color w:val="000000" w:themeColor="text1"/>
          <w:kern w:val="0"/>
          <w:sz w:val="32"/>
          <w:szCs w:val="32"/>
          <w14:textFill>
            <w14:solidFill>
              <w14:schemeClr w14:val="tx1"/>
            </w14:solidFill>
          </w14:textFill>
        </w:rPr>
        <w:t>型大城市架构。</w:t>
      </w:r>
    </w:p>
    <w:p w14:paraId="2ACB9D7B">
      <w:pPr>
        <w:keepNext w:val="0"/>
        <w:keepLines w:val="0"/>
        <w:pageBreakBefore w:val="0"/>
        <w:kinsoku/>
        <w:wordWrap/>
        <w:autoSpaceDN/>
        <w:bidi w:val="0"/>
        <w:snapToGrid/>
        <w:spacing w:after="0" w:line="600" w:lineRule="exact"/>
        <w:ind w:firstLine="643" w:firstLineChars="200"/>
        <w:jc w:val="both"/>
        <w:textAlignment w:val="auto"/>
        <w:rPr>
          <w:rFonts w:hint="default" w:ascii="Times New Roman" w:hAnsi="Times New Roman" w:eastAsia="仿宋_GB2312" w:cs="Times New Roman"/>
          <w:sz w:val="32"/>
          <w:szCs w:val="32"/>
          <w:highlight w:val="none"/>
          <w:u w:val="none" w:color="auto"/>
          <w:lang w:eastAsia="zh-CN"/>
        </w:rPr>
      </w:pPr>
      <w:r>
        <w:rPr>
          <w:rFonts w:hint="default" w:ascii="Times New Roman" w:hAnsi="Times New Roman" w:eastAsia="楷体_GB2312" w:cs="Times New Roman"/>
          <w:b/>
          <w:bCs/>
          <w:color w:val="000000"/>
          <w:kern w:val="0"/>
          <w:sz w:val="32"/>
          <w:szCs w:val="32"/>
          <w:highlight w:val="none"/>
          <w:u w:val="none" w:color="auto"/>
          <w:lang w:val="en-US" w:eastAsia="zh-CN" w:bidi="ar"/>
        </w:rPr>
        <w:t>5. 推进民生补短提质，守牢安全发展底线。</w:t>
      </w:r>
      <w:r>
        <w:rPr>
          <w:rFonts w:hint="default" w:ascii="Times New Roman" w:hAnsi="Times New Roman" w:eastAsia="仿宋_GB2312" w:cs="Times New Roman"/>
          <w:sz w:val="32"/>
          <w:szCs w:val="32"/>
          <w:highlight w:val="none"/>
          <w:u w:val="none" w:color="auto"/>
        </w:rPr>
        <w:t>均衡发展城乡公共服务和</w:t>
      </w:r>
      <w:r>
        <w:rPr>
          <w:rFonts w:hint="default" w:ascii="Times New Roman" w:hAnsi="Times New Roman" w:eastAsia="仿宋_GB2312" w:cs="Times New Roman"/>
          <w:sz w:val="32"/>
          <w:szCs w:val="32"/>
          <w:highlight w:val="none"/>
          <w:u w:val="none" w:color="auto"/>
          <w:lang w:val="en-US" w:eastAsia="zh-CN"/>
        </w:rPr>
        <w:t>保障</w:t>
      </w:r>
      <w:r>
        <w:rPr>
          <w:rFonts w:hint="default" w:ascii="Times New Roman" w:hAnsi="Times New Roman" w:eastAsia="仿宋_GB2312" w:cs="Times New Roman"/>
          <w:sz w:val="32"/>
          <w:szCs w:val="32"/>
          <w:highlight w:val="none"/>
          <w:u w:val="none" w:color="auto"/>
        </w:rPr>
        <w:t>体系，</w:t>
      </w:r>
      <w:r>
        <w:rPr>
          <w:rFonts w:hint="default" w:ascii="Times New Roman" w:hAnsi="Times New Roman" w:eastAsia="仿宋_GB2312" w:cs="Times New Roman"/>
          <w:sz w:val="32"/>
          <w:szCs w:val="32"/>
          <w:highlight w:val="none"/>
          <w:u w:val="none" w:color="auto"/>
          <w:lang w:val="en-US" w:eastAsia="zh-CN"/>
        </w:rPr>
        <w:t>坚持量力而行、尽力而为，</w:t>
      </w:r>
      <w:r>
        <w:rPr>
          <w:rFonts w:hint="default" w:ascii="Times New Roman" w:hAnsi="Times New Roman" w:eastAsia="仿宋_GB2312" w:cs="Times New Roman"/>
          <w:sz w:val="32"/>
          <w:szCs w:val="32"/>
          <w:highlight w:val="none"/>
          <w:u w:val="none" w:color="auto"/>
        </w:rPr>
        <w:t>深入推进“民生七优”，在更高水平实现幼有所育、学有所教、劳有所得、病有所医、老有所养、住有所居、弱有所扶，打造人民美好生活的“昆山样板”。完善公共安全治理机制，健全社会治理体系，确保社会和谐稳定</w:t>
      </w:r>
      <w:r>
        <w:rPr>
          <w:rFonts w:hint="default" w:ascii="Times New Roman" w:hAnsi="Times New Roman"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rPr>
        <w:t>加快</w:t>
      </w:r>
      <w:r>
        <w:rPr>
          <w:rFonts w:hint="default" w:ascii="Times New Roman" w:hAnsi="Times New Roman" w:eastAsia="仿宋_GB2312" w:cs="Times New Roman"/>
          <w:sz w:val="32"/>
          <w:szCs w:val="32"/>
          <w:highlight w:val="none"/>
          <w:u w:val="none" w:color="auto"/>
          <w:lang w:val="en-US" w:eastAsia="zh-CN"/>
        </w:rPr>
        <w:t>建设平安</w:t>
      </w:r>
      <w:r>
        <w:rPr>
          <w:rFonts w:hint="default" w:ascii="Times New Roman" w:hAnsi="Times New Roman" w:eastAsia="仿宋_GB2312" w:cs="Times New Roman"/>
          <w:sz w:val="32"/>
          <w:szCs w:val="32"/>
          <w:highlight w:val="none"/>
          <w:u w:val="none" w:color="auto"/>
        </w:rPr>
        <w:t>城市、韧性城市</w:t>
      </w:r>
      <w:r>
        <w:rPr>
          <w:rFonts w:hint="default" w:ascii="Times New Roman" w:hAnsi="Times New Roman" w:eastAsia="仿宋_GB2312" w:cs="Times New Roman"/>
          <w:sz w:val="32"/>
          <w:szCs w:val="32"/>
          <w:highlight w:val="none"/>
          <w:u w:val="none" w:color="auto"/>
          <w:lang w:eastAsia="zh-CN"/>
        </w:rPr>
        <w:t>。</w:t>
      </w:r>
    </w:p>
    <w:p w14:paraId="7E50126B">
      <w:pPr>
        <w:keepNext w:val="0"/>
        <w:keepLines w:val="0"/>
        <w:pageBreakBefore w:val="0"/>
        <w:widowControl/>
        <w:suppressLineNumbers w:val="0"/>
        <w:kinsoku/>
        <w:wordWrap/>
        <w:overflowPunct/>
        <w:topLinePunct w:val="0"/>
        <w:autoSpaceDE w:val="0"/>
        <w:autoSpaceDN/>
        <w:bidi w:val="0"/>
        <w:adjustRightInd w:val="0"/>
        <w:snapToGrid/>
        <w:spacing w:before="0" w:beforeAutospacing="0" w:afterAutospacing="0" w:line="600" w:lineRule="exact"/>
        <w:ind w:left="0" w:right="0" w:firstLine="640" w:firstLineChars="0"/>
        <w:jc w:val="left"/>
        <w:textAlignment w:val="auto"/>
        <w:rPr>
          <w:rFonts w:hint="default" w:ascii="Times New Roman" w:hAnsi="Times New Roman" w:eastAsia="仿宋_GB2312" w:cs="Times New Roman"/>
          <w:kern w:val="2"/>
          <w:sz w:val="32"/>
          <w:szCs w:val="32"/>
          <w:highlight w:val="none"/>
          <w:u w:val="none" w:color="auto"/>
          <w:lang w:val="en-US" w:eastAsia="zh-CN" w:bidi="ar"/>
        </w:rPr>
      </w:pPr>
      <w:r>
        <w:rPr>
          <w:rFonts w:hint="default" w:ascii="Times New Roman" w:hAnsi="Times New Roman" w:eastAsia="楷体_GB2312" w:cs="Times New Roman"/>
          <w:b/>
          <w:bCs/>
          <w:color w:val="000000"/>
          <w:kern w:val="0"/>
          <w:sz w:val="32"/>
          <w:szCs w:val="32"/>
          <w:highlight w:val="none"/>
          <w:u w:val="none" w:color="auto"/>
          <w:lang w:val="en-US" w:eastAsia="zh-CN" w:bidi="ar"/>
        </w:rPr>
        <w:t>6. 强化人工智能赋能，促进绿色集约发展。</w:t>
      </w:r>
      <w:r>
        <w:rPr>
          <w:rFonts w:hint="default" w:ascii="Times New Roman" w:hAnsi="Times New Roman" w:eastAsia="仿宋_GB2312" w:cs="Times New Roman"/>
          <w:kern w:val="2"/>
          <w:sz w:val="32"/>
          <w:szCs w:val="32"/>
          <w:highlight w:val="none"/>
          <w:u w:val="none" w:color="auto"/>
          <w:lang w:val="en-US" w:eastAsia="zh-CN" w:bidi="ar"/>
        </w:rPr>
        <w:t>把推进“数字昆山”建设作为打造未来城市的基础支撑，搭建以人工智能为底座的城市治理共同体，打造更多具有昆山特色的数字化品牌场景，构建“精准把脉、多元共治、数字赋能”城市治理模式。把推动绿色低碳作为城市发展的鲜明底色，协同推进降碳、减污、扩绿、增长，建设彰显江南水乡特色的美丽昆山。</w:t>
      </w:r>
    </w:p>
    <w:p w14:paraId="79E1D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六、发展目标</w:t>
      </w:r>
    </w:p>
    <w:p w14:paraId="2D7B96FF">
      <w:pPr>
        <w:keepNext w:val="0"/>
        <w:keepLines w:val="0"/>
        <w:pageBreakBefore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kern w:val="2"/>
          <w:sz w:val="32"/>
          <w:szCs w:val="32"/>
          <w:highlight w:val="none"/>
          <w:u w:val="none" w:color="auto"/>
          <w:lang w:val="en-US" w:eastAsia="zh-CN" w:bidi="ar"/>
        </w:rPr>
        <w:t>“十五五”时期，以在中国式现代化新征程中走在前、做示范为总目标、总定位。</w:t>
      </w:r>
      <w:r>
        <w:rPr>
          <w:rFonts w:hint="default" w:ascii="Times New Roman" w:hAnsi="Times New Roman" w:eastAsia="仿宋_GB2312" w:cs="Times New Roman"/>
          <w:spacing w:val="0"/>
          <w:sz w:val="32"/>
          <w:szCs w:val="32"/>
        </w:rPr>
        <w:t>具体目标</w:t>
      </w:r>
      <w:r>
        <w:rPr>
          <w:rFonts w:hint="default" w:ascii="Times New Roman" w:hAnsi="Times New Roman" w:eastAsia="仿宋_GB2312" w:cs="Times New Roman"/>
          <w:spacing w:val="0"/>
          <w:sz w:val="32"/>
          <w:szCs w:val="32"/>
          <w:lang w:val="en-US" w:eastAsia="zh-CN"/>
        </w:rPr>
        <w:t>包括：</w:t>
      </w:r>
      <w:r>
        <w:rPr>
          <w:rFonts w:hint="default" w:ascii="Times New Roman" w:hAnsi="Times New Roman" w:eastAsia="仿宋_GB2312" w:cs="Times New Roman"/>
          <w:spacing w:val="0"/>
          <w:sz w:val="32"/>
          <w:szCs w:val="32"/>
        </w:rPr>
        <w:t>结构动能实现重大转变，基本建成一超多强产业体系</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产创融合取得显著突破，基本建成高水平创新型城市</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双向开放持续纵深拓展，基本建成</w:t>
      </w:r>
      <w:r>
        <w:rPr>
          <w:rFonts w:hint="eastAsia" w:ascii="Times New Roman" w:hAnsi="Times New Roman" w:eastAsia="仿宋_GB2312" w:cs="Times New Roman"/>
          <w:spacing w:val="0"/>
          <w:sz w:val="32"/>
          <w:szCs w:val="32"/>
          <w:lang w:val="en-US" w:eastAsia="zh-CN"/>
        </w:rPr>
        <w:t>链接内外的</w:t>
      </w:r>
      <w:r>
        <w:rPr>
          <w:rFonts w:hint="default" w:ascii="Times New Roman" w:hAnsi="Times New Roman" w:eastAsia="仿宋_GB2312" w:cs="Times New Roman"/>
          <w:spacing w:val="0"/>
          <w:sz w:val="32"/>
          <w:szCs w:val="32"/>
        </w:rPr>
        <w:t>功能性节点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城乡发展更趋一体统筹，基本建成现代化II型大城市</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人民生活获得更多实惠，基本建成宜居宜业幸福家园。在此基础上再奋斗五年，到2035年，</w:t>
      </w:r>
      <w:r>
        <w:rPr>
          <w:rFonts w:hint="default" w:ascii="Times New Roman" w:hAnsi="Times New Roman" w:eastAsia="仿宋_GB2312" w:cs="Times New Roman"/>
          <w:spacing w:val="0"/>
          <w:sz w:val="32"/>
          <w:szCs w:val="32"/>
          <w:lang w:val="en-US" w:eastAsia="zh-CN"/>
        </w:rPr>
        <w:t>推动</w:t>
      </w:r>
      <w:r>
        <w:rPr>
          <w:rFonts w:hint="default" w:ascii="Times New Roman" w:hAnsi="Times New Roman" w:eastAsia="仿宋_GB2312" w:cs="Times New Roman"/>
          <w:spacing w:val="0"/>
          <w:sz w:val="32"/>
          <w:szCs w:val="32"/>
        </w:rPr>
        <w:t>昆山基本实现社会主义现代化。</w:t>
      </w:r>
    </w:p>
    <w:p w14:paraId="549EC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bookmarkStart w:id="3" w:name="OLE_LINK4"/>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、重点任务</w:t>
      </w:r>
    </w:p>
    <w:p w14:paraId="31AB00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kern w:val="44"/>
          <w:sz w:val="32"/>
          <w:shd w:val="clear" w:color="auto" w:fill="auto"/>
          <w:lang w:val="en-US" w:eastAsia="zh-CN"/>
        </w:rPr>
      </w:pPr>
      <w:r>
        <w:rPr>
          <w:rFonts w:hint="default" w:ascii="Times New Roman" w:hAnsi="Times New Roman" w:eastAsia="仿宋_GB2312" w:cs="Times New Roman"/>
          <w:sz w:val="32"/>
          <w:szCs w:val="32"/>
        </w:rPr>
        <w:t>围绕</w:t>
      </w:r>
      <w:r>
        <w:rPr>
          <w:rFonts w:hint="default" w:ascii="Times New Roman" w:hAnsi="Times New Roman" w:eastAsia="仿宋_GB2312" w:cs="Times New Roman"/>
          <w:sz w:val="32"/>
          <w:szCs w:val="32"/>
          <w:lang w:val="en-US" w:eastAsia="zh-CN"/>
        </w:rPr>
        <w:t>四个“</w:t>
      </w:r>
      <w:r>
        <w:rPr>
          <w:rFonts w:hint="default" w:ascii="Times New Roman" w:hAnsi="Times New Roman" w:eastAsia="仿宋_GB2312" w:cs="Times New Roman"/>
          <w:b w:val="0"/>
          <w:bCs w:val="0"/>
          <w:color w:val="auto"/>
          <w:spacing w:val="0"/>
          <w:kern w:val="44"/>
          <w:sz w:val="32"/>
          <w:shd w:val="clear" w:color="auto" w:fill="auto"/>
          <w:lang w:val="en-US" w:eastAsia="zh-CN"/>
        </w:rPr>
        <w:t>城”定位，细化研究“十五五”时期重点工作任务。</w:t>
      </w:r>
    </w:p>
    <w:p w14:paraId="32D26859">
      <w:pPr>
        <w:keepNext w:val="0"/>
        <w:keepLines w:val="0"/>
        <w:pageBreakBefore w:val="0"/>
        <w:widowControl w:val="0"/>
        <w:numPr>
          <w:ilvl w:val="0"/>
          <w:numId w:val="0"/>
        </w:numPr>
        <w:kinsoku/>
        <w:wordWrap/>
        <w:overflowPunct/>
        <w:topLinePunct w:val="0"/>
        <w:autoSpaceDE/>
        <w:autoSpaceDN/>
        <w:bidi w:val="0"/>
        <w:adjustRightInd w:val="0"/>
        <w:snapToGrid/>
        <w:spacing w:beforeLines="0" w:after="0" w:afterLines="0" w:line="600" w:lineRule="exact"/>
        <w:ind w:firstLine="643" w:firstLineChars="200"/>
        <w:jc w:val="both"/>
        <w:textAlignment w:val="auto"/>
        <w:rPr>
          <w:rFonts w:hint="default" w:ascii="Times New Roman" w:hAnsi="Times New Roman" w:eastAsia="仿宋_GB2312" w:cs="Times New Roman"/>
          <w:kern w:val="2"/>
          <w:sz w:val="32"/>
          <w:szCs w:val="32"/>
          <w:highlight w:val="none"/>
          <w:u w:val="none" w:color="auto"/>
          <w:lang w:val="en-US" w:eastAsia="zh-CN" w:bidi="ar-SA"/>
        </w:rPr>
      </w:pPr>
      <w:r>
        <w:rPr>
          <w:rFonts w:hint="default" w:ascii="Times New Roman" w:hAnsi="Times New Roman" w:eastAsia="楷体" w:cs="Times New Roman"/>
          <w:b/>
          <w:bCs/>
          <w:kern w:val="2"/>
          <w:sz w:val="32"/>
          <w:szCs w:val="32"/>
          <w:highlight w:val="none"/>
          <w:u w:val="none" w:color="auto"/>
          <w:lang w:val="en-US" w:eastAsia="zh-CN" w:bidi="ar"/>
        </w:rPr>
        <w:t>一是打造全球知名“智造之城”。</w:t>
      </w:r>
      <w:r>
        <w:rPr>
          <w:rFonts w:hint="default" w:ascii="Times New Roman" w:hAnsi="Times New Roman" w:eastAsia="仿宋_GB2312" w:cs="Times New Roman"/>
          <w:spacing w:val="0"/>
          <w:sz w:val="32"/>
          <w:szCs w:val="32"/>
          <w:lang w:val="en-US" w:eastAsia="zh-CN"/>
        </w:rPr>
        <w:t>构筑AI赋能的“一超多强”现代化产业体系，固本升级新一代信息技术“超级”产业集群，推动消费电子向AI终端升级、向汽车电子延伸，加快智能芯片补链强链，做大做强新型显示集群。聚力壮大高端装备、智能网联汽车、具身智能、低空飞行器“多强”产业，加快发展高端食品、时尚创意、消费医疗等新兴产业，超前布局第六代移动通信、航空航天、生物制造、未来能源等未来产业。优质发展研发设计、检验检测、数智服务、高端物贸、现代金融等生产性服务业，促进两业深度融合。一体发展文体旅商展演业。建设产创融合的高水平创新型城市，</w:t>
      </w:r>
      <w:r>
        <w:rPr>
          <w:rFonts w:hint="default" w:ascii="Times New Roman" w:hAnsi="Times New Roman" w:eastAsia="仿宋_GB2312" w:cs="Times New Roman"/>
          <w:kern w:val="2"/>
          <w:sz w:val="32"/>
          <w:szCs w:val="32"/>
          <w:highlight w:val="none"/>
          <w:u w:val="none" w:color="auto"/>
          <w:lang w:val="en-US" w:eastAsia="zh-CN" w:bidi="ar-SA"/>
        </w:rPr>
        <w:t>实施阳澄湖临沪科创区、环淀山湖科创湖区“两湖”科创战略布局，重点突出企业创新主体地位，深入实施祖冲之科技攻关计划，构建企业创新中心和创新联合体，提</w:t>
      </w:r>
      <w:bookmarkStart w:id="7" w:name="_GoBack"/>
      <w:bookmarkEnd w:id="7"/>
      <w:r>
        <w:rPr>
          <w:rFonts w:hint="default" w:ascii="Times New Roman" w:hAnsi="Times New Roman" w:eastAsia="仿宋_GB2312" w:cs="Times New Roman"/>
          <w:kern w:val="2"/>
          <w:sz w:val="32"/>
          <w:szCs w:val="32"/>
          <w:highlight w:val="none"/>
          <w:u w:val="none" w:color="auto"/>
          <w:lang w:val="en-US" w:eastAsia="zh-CN" w:bidi="ar-SA"/>
        </w:rPr>
        <w:t>升产学研合作效能，形成创新型企业梯次队伍。优化“1+N+X”人才政策体系，依托龙头企业实施全球引才计划，打造多层次人才梯队。融入以消费为主导的内需发展新格局，加快内外贸一体化发展，推动昆山优品布局全国市场。扩大住房、汽车、家电、家装等大宗消费，丰富中高端消费场景，扩大优质消费品和服务供给。发挥政府投资带动作用，用足国家政策和资金支持，常态化做好重大项目谋划储备。激发社会资本投资活力，强化对中小微企业融资支持，完善政府引导基金运作，推动更多优质企业上市融资。建立适应新质生产力发展的体制机制，积极参与要素市场化配置改革试点，擦亮“昆如意”营商品牌，推进智能化、集成化、增值化、法治化改革。加快招商引资体制创新，</w:t>
      </w:r>
      <w:r>
        <w:rPr>
          <w:rFonts w:hint="default" w:ascii="Times New Roman" w:hAnsi="Times New Roman" w:eastAsia="仿宋_GB2312" w:cs="Times New Roman"/>
          <w:kern w:val="2"/>
          <w:sz w:val="32"/>
          <w:szCs w:val="32"/>
          <w:highlight w:val="none"/>
          <w:u w:val="none" w:color="auto"/>
          <w:lang w:val="en-US" w:eastAsia="zh-CN" w:bidi="ar"/>
        </w:rPr>
        <w:t>构建市级区镇“2+2”双招双引联动机制，创新招商引资方式方法，</w:t>
      </w:r>
      <w:r>
        <w:rPr>
          <w:rFonts w:hint="default" w:ascii="Times New Roman" w:hAnsi="Times New Roman" w:eastAsia="仿宋_GB2312" w:cs="Times New Roman"/>
          <w:kern w:val="2"/>
          <w:sz w:val="32"/>
          <w:szCs w:val="32"/>
          <w:highlight w:val="none"/>
          <w:u w:val="none" w:color="auto"/>
          <w:lang w:val="en-US" w:eastAsia="zh-CN" w:bidi="ar-SA"/>
        </w:rPr>
        <w:t>紧盯世界500强、中国500强、行业前5强企业，着力引进一批链主型、旗舰型项目。激发国资国企、民营企业等各类经营主体发展活力。</w:t>
      </w:r>
    </w:p>
    <w:p w14:paraId="6A279A11">
      <w:pPr>
        <w:keepNext w:val="0"/>
        <w:keepLines w:val="0"/>
        <w:pageBreakBefore w:val="0"/>
        <w:numPr>
          <w:ilvl w:val="0"/>
          <w:numId w:val="0"/>
        </w:numPr>
        <w:kinsoku/>
        <w:wordWrap/>
        <w:overflowPunct/>
        <w:topLinePunct w:val="0"/>
        <w:autoSpaceDE/>
        <w:autoSpaceDN/>
        <w:bidi w:val="0"/>
        <w:adjustRightInd w:val="0"/>
        <w:snapToGrid/>
        <w:spacing w:after="0" w:line="600" w:lineRule="exact"/>
        <w:ind w:firstLine="643" w:firstLineChars="200"/>
        <w:jc w:val="left"/>
        <w:textAlignment w:val="auto"/>
        <w:rPr>
          <w:rFonts w:hint="default" w:ascii="Times New Roman" w:hAnsi="Times New Roman" w:eastAsia="仿宋_GB2312" w:cs="Times New Roman"/>
          <w:sz w:val="32"/>
          <w:szCs w:val="32"/>
          <w:highlight w:val="none"/>
          <w:u w:val="none" w:color="auto"/>
          <w:lang w:val="en-US" w:eastAsia="zh-CN"/>
        </w:rPr>
      </w:pPr>
      <w:r>
        <w:rPr>
          <w:rFonts w:hint="default" w:ascii="Times New Roman" w:hAnsi="Times New Roman" w:eastAsia="楷体" w:cs="Times New Roman"/>
          <w:b/>
          <w:bCs/>
          <w:kern w:val="2"/>
          <w:sz w:val="32"/>
          <w:szCs w:val="32"/>
          <w:highlight w:val="none"/>
          <w:u w:val="none" w:color="auto"/>
          <w:lang w:val="en-US" w:eastAsia="zh-CN" w:bidi="ar"/>
        </w:rPr>
        <w:t>二是打造临沪对台“开放之城”。</w:t>
      </w:r>
      <w:r>
        <w:rPr>
          <w:rFonts w:hint="default" w:ascii="Times New Roman" w:hAnsi="Times New Roman" w:eastAsia="仿宋_GB2312" w:cs="Times New Roman"/>
          <w:kern w:val="2"/>
          <w:sz w:val="32"/>
          <w:szCs w:val="32"/>
          <w:highlight w:val="none"/>
          <w:u w:val="none" w:color="auto"/>
          <w:lang w:val="en-US" w:eastAsia="zh-CN" w:bidi="ar-SA"/>
        </w:rPr>
        <w:t>建强对接融入上海“第一站”，</w:t>
      </w:r>
      <w:r>
        <w:rPr>
          <w:rFonts w:hint="default" w:ascii="Times New Roman" w:hAnsi="Times New Roman" w:eastAsia="仿宋_GB2312" w:cs="Times New Roman"/>
          <w:sz w:val="32"/>
          <w:szCs w:val="32"/>
          <w:highlight w:val="none"/>
          <w:u w:val="none" w:color="auto"/>
          <w:lang w:val="en-US" w:eastAsia="zh-CN"/>
        </w:rPr>
        <w:t>全面对接融入上海“五个中心”建设，参与高端产业集群建设，协同开展应用研究和技术攻关。深化重点功能载体对接合作，加快虹桥枢纽北向拓展带、“嘉昆太”协同创新圈等区域合作。深化基础设施硬联通与公共服务软协同，推动公共服务和治理同城化。打造对台深度合作“第一城”，拓展昆台产业科技全链合作，支持在昆台企就地转型，放大昆山试验区改革成效，构建昆山金改区发展新范式。用心用情打造台胞“第二故乡”。积极参与长三角生态绿色一体化发展示范区建设，加强与南翼杭州－宁波、北翼南京－合肥协同发展，深化与京津冀、粤港澳、省内南北挂钩、东西部协作等重点区域的对接合作。加快贸易创新发展，全力稳住货物贸易，</w:t>
      </w:r>
      <w:r>
        <w:rPr>
          <w:rFonts w:hint="default" w:ascii="Times New Roman" w:hAnsi="Times New Roman" w:eastAsia="仿宋_GB2312" w:cs="Times New Roman"/>
          <w:color w:val="000000"/>
          <w:sz w:val="32"/>
          <w:szCs w:val="31"/>
          <w:highlight w:val="none"/>
          <w:u w:val="none" w:color="auto"/>
          <w:lang w:bidi="ar"/>
        </w:rPr>
        <w:t>放大昆山综保区“保税+”复合功能</w:t>
      </w:r>
      <w:r>
        <w:rPr>
          <w:rFonts w:hint="default" w:ascii="Times New Roman" w:hAnsi="Times New Roman" w:eastAsia="仿宋_GB2312" w:cs="Times New Roman"/>
          <w:color w:val="000000"/>
          <w:sz w:val="32"/>
          <w:szCs w:val="31"/>
          <w:highlight w:val="none"/>
          <w:u w:val="none" w:color="auto"/>
          <w:lang w:eastAsia="zh-CN" w:bidi="ar"/>
        </w:rPr>
        <w:t>，</w:t>
      </w:r>
      <w:r>
        <w:rPr>
          <w:rFonts w:hint="default" w:ascii="Times New Roman" w:hAnsi="Times New Roman" w:eastAsia="仿宋_GB2312" w:cs="Times New Roman"/>
          <w:sz w:val="32"/>
          <w:szCs w:val="32"/>
          <w:highlight w:val="none"/>
          <w:u w:val="none" w:color="auto"/>
          <w:lang w:val="en-US" w:eastAsia="zh-CN"/>
        </w:rPr>
        <w:t>大力发展服务贸易、跨境电商等，推动贸易结构优化升级。</w:t>
      </w:r>
      <w:r>
        <w:rPr>
          <w:rFonts w:hint="default" w:ascii="Times New Roman" w:hAnsi="Times New Roman" w:eastAsia="仿宋_GB2312" w:cs="Times New Roman"/>
          <w:color w:val="000000"/>
          <w:sz w:val="32"/>
          <w:szCs w:val="32"/>
          <w:highlight w:val="none"/>
          <w:u w:val="none" w:color="auto"/>
        </w:rPr>
        <w:t>巩固欧美日韩等传统</w:t>
      </w:r>
      <w:r>
        <w:rPr>
          <w:rFonts w:hint="default" w:ascii="Times New Roman" w:hAnsi="Times New Roman" w:eastAsia="仿宋_GB2312" w:cs="Times New Roman"/>
          <w:color w:val="000000"/>
          <w:sz w:val="32"/>
          <w:szCs w:val="32"/>
          <w:highlight w:val="none"/>
          <w:u w:val="none" w:color="auto"/>
          <w:lang w:val="en-US" w:eastAsia="zh-CN"/>
        </w:rPr>
        <w:t>外资来源</w:t>
      </w:r>
      <w:r>
        <w:rPr>
          <w:rFonts w:hint="default" w:ascii="Times New Roman" w:hAnsi="Times New Roman" w:eastAsia="仿宋_GB2312" w:cs="Times New Roman"/>
          <w:color w:val="000000"/>
          <w:sz w:val="32"/>
          <w:szCs w:val="32"/>
          <w:highlight w:val="none"/>
          <w:u w:val="none" w:color="auto"/>
        </w:rPr>
        <w:t>，拓展“一带一路”与东南亚新兴</w:t>
      </w:r>
      <w:r>
        <w:rPr>
          <w:rFonts w:hint="default" w:ascii="Times New Roman" w:hAnsi="Times New Roman" w:eastAsia="仿宋_GB2312" w:cs="Times New Roman"/>
          <w:color w:val="000000"/>
          <w:sz w:val="32"/>
          <w:szCs w:val="32"/>
          <w:highlight w:val="none"/>
          <w:u w:val="none" w:color="auto"/>
          <w:lang w:val="en-US" w:eastAsia="zh-CN"/>
        </w:rPr>
        <w:t>市场</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深度挖掘台企再投资潜力</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lang w:val="en-US" w:eastAsia="zh-CN"/>
        </w:rPr>
        <w:t>健全海外投资综合服务体系，服务本地企业</w:t>
      </w:r>
      <w:r>
        <w:rPr>
          <w:rFonts w:hint="default" w:ascii="Times New Roman" w:hAnsi="Times New Roman" w:eastAsia="仿宋_GB2312" w:cs="Times New Roman"/>
          <w:color w:val="000000"/>
          <w:sz w:val="32"/>
          <w:szCs w:val="31"/>
          <w:highlight w:val="none"/>
          <w:u w:val="none" w:color="auto"/>
          <w:lang w:bidi="ar"/>
        </w:rPr>
        <w:t>“走出去”格局</w:t>
      </w:r>
      <w:r>
        <w:rPr>
          <w:rFonts w:hint="default" w:ascii="Times New Roman" w:hAnsi="Times New Roman" w:eastAsia="仿宋_GB2312" w:cs="Times New Roman"/>
          <w:color w:val="000000"/>
          <w:sz w:val="32"/>
          <w:szCs w:val="31"/>
          <w:highlight w:val="none"/>
          <w:u w:val="none" w:color="auto"/>
          <w:lang w:eastAsia="zh-CN" w:bidi="ar"/>
        </w:rPr>
        <w:t>，</w:t>
      </w:r>
      <w:r>
        <w:rPr>
          <w:rFonts w:hint="default" w:ascii="Times New Roman" w:hAnsi="Times New Roman" w:eastAsia="仿宋_GB2312" w:cs="Times New Roman"/>
          <w:color w:val="000000"/>
          <w:sz w:val="32"/>
          <w:szCs w:val="32"/>
          <w:highlight w:val="none"/>
          <w:u w:val="none" w:color="auto"/>
          <w:lang w:val="en-US" w:eastAsia="zh-CN" w:bidi="ar"/>
        </w:rPr>
        <w:t>培育一批跨国企业。</w:t>
      </w:r>
    </w:p>
    <w:p w14:paraId="53929D64">
      <w:pPr>
        <w:keepNext w:val="0"/>
        <w:keepLines w:val="0"/>
        <w:pageBreakBefore w:val="0"/>
        <w:widowControl w:val="0"/>
        <w:numPr>
          <w:ilvl w:val="0"/>
          <w:numId w:val="0"/>
        </w:numPr>
        <w:kinsoku/>
        <w:wordWrap/>
        <w:overflowPunct w:val="0"/>
        <w:topLinePunct/>
        <w:autoSpaceDE/>
        <w:autoSpaceDN/>
        <w:bidi w:val="0"/>
        <w:adjustRightInd w:val="0"/>
        <w:snapToGrid/>
        <w:spacing w:after="0" w:line="600" w:lineRule="exact"/>
        <w:ind w:left="0" w:leftChars="0" w:firstLine="643" w:firstLineChars="200"/>
        <w:jc w:val="both"/>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楷体_GB2312" w:cs="Times New Roman"/>
          <w:b/>
          <w:bCs/>
          <w:color w:val="000000"/>
          <w:kern w:val="0"/>
          <w:sz w:val="32"/>
          <w:szCs w:val="32"/>
          <w:highlight w:val="none"/>
          <w:u w:val="none" w:color="auto"/>
          <w:lang w:val="en-US" w:eastAsia="zh-CN" w:bidi="ar"/>
        </w:rPr>
        <w:t>三是打造双向奔赴“品质之城”。</w:t>
      </w:r>
      <w:r>
        <w:rPr>
          <w:rFonts w:hint="default" w:ascii="Times New Roman" w:hAnsi="Times New Roman" w:eastAsia="仿宋_GB2312" w:cs="Times New Roman"/>
          <w:color w:val="000000"/>
          <w:sz w:val="32"/>
          <w:szCs w:val="32"/>
          <w:highlight w:val="none"/>
          <w:u w:val="none" w:color="auto"/>
          <w:lang w:val="en-US" w:eastAsia="zh-CN"/>
        </w:rPr>
        <w:t>大力推进城市焕新塑形，深入推进以人为本的新型城镇化，大力实施城市更新改造，加快推进青阳港中央商务区、玉山历史文化片区、大渔湾科创先导区、正仪戏曲文化片区等重点片区建设。</w:t>
      </w:r>
      <w:r>
        <w:rPr>
          <w:rFonts w:hint="default" w:ascii="Times New Roman" w:hAnsi="Times New Roman" w:eastAsia="仿宋_GB2312" w:cs="Times New Roman"/>
          <w:sz w:val="32"/>
          <w:szCs w:val="32"/>
          <w:u w:val="none" w:color="auto"/>
          <w:lang w:val="en-US" w:eastAsia="zh-CN"/>
        </w:rPr>
        <w:t>加快老旧小区改造提升，完善城市安全韧性体系，超前布局算力、能源、低空等新型基础设施，构建多层次道路交通网，优化“水陆空铁”对外流通体系。围绕青年人才对高品质城市生活的需求，优化青年人才创新创业、生活娱乐等体验生态</w:t>
      </w:r>
      <w:r>
        <w:rPr>
          <w:rFonts w:hint="default" w:ascii="Times New Roman" w:hAnsi="Times New Roman" w:eastAsia="仿宋_GB2312" w:cs="Times New Roman"/>
          <w:color w:val="000000"/>
          <w:sz w:val="32"/>
          <w:szCs w:val="32"/>
          <w:highlight w:val="none"/>
          <w:u w:val="none" w:color="auto"/>
          <w:lang w:val="en-US" w:eastAsia="zh-CN"/>
        </w:rPr>
        <w:t>，建设青年创业逐梦首选地。</w:t>
      </w:r>
      <w:r>
        <w:rPr>
          <w:rFonts w:hint="default" w:ascii="Times New Roman" w:hAnsi="Times New Roman" w:eastAsia="仿宋_GB2312" w:cs="Times New Roman"/>
          <w:sz w:val="32"/>
          <w:szCs w:val="32"/>
          <w:u w:val="none" w:color="auto"/>
          <w:lang w:val="en-US" w:eastAsia="zh-CN"/>
        </w:rPr>
        <w:t>全面落实国家推进“人工智能+”实施意见，加快政府服务流程再造、城市运行模式再造，推动人工智能赋能高质量发展、高品质生活、高效能治理，建设智能高效未来城市。巩固提升生态环境质量，推进生态环境保护和修复工程，提升绿色低碳发展质效，</w:t>
      </w:r>
      <w:r>
        <w:rPr>
          <w:rFonts w:hint="default" w:ascii="Times New Roman" w:hAnsi="Times New Roman" w:eastAsia="仿宋_GB2312" w:cs="Times New Roman"/>
          <w:kern w:val="2"/>
          <w:sz w:val="32"/>
          <w:szCs w:val="32"/>
          <w:u w:val="none" w:color="auto"/>
          <w:lang w:val="en-US" w:eastAsia="zh-CN" w:bidi="ar-SA"/>
        </w:rPr>
        <w:t>实施“碳达峰十大行动”，建设智慧能碳管理平台，推动能耗双控向碳排放双控全面转型，推动昆山高新区争创国家碳达峰试点，高标准建设长三角（昆山）国际低碳产业创新园区，培育千亿级绿色低碳产业。加快构建新型能源体系，推动分布式光伏等可再生能源规模化应用，积极建设“光储充一体化”“源网荷储一体化”等示范项目。拓展城市绿色空间体系，深化“昆小薇”专项行动，建设公园城市，依托“昆山之链”等，塑造现代江南水乡人居新典范。建设大都会近郊区和美乡村，深化实施乡村振兴“五百行动”，建设现代新型小城镇，加快乡村基础设施提档升级，打造城乡公共服务共同体大。力发展现代都市农业，立足“服务上海，辐射长三角”定位发展乡村文旅产业。推进农村集体经济提质增效，稳健运营“百村共富”基金，系统构建新时期“新农人”培育体系，探索经济强村发展新路。</w:t>
      </w:r>
    </w:p>
    <w:p w14:paraId="1B27B1C9">
      <w:pPr>
        <w:keepNext w:val="0"/>
        <w:keepLines w:val="0"/>
        <w:pageBreakBefore w:val="0"/>
        <w:widowControl w:val="0"/>
        <w:kinsoku/>
        <w:wordWrap/>
        <w:overflowPunct/>
        <w:topLinePunct w:val="0"/>
        <w:autoSpaceDE/>
        <w:autoSpaceDN/>
        <w:bidi w:val="0"/>
        <w:adjustRightInd w:val="0"/>
        <w:snapToGrid/>
        <w:spacing w:after="0" w:line="600" w:lineRule="exact"/>
        <w:ind w:firstLine="643" w:firstLineChars="200"/>
        <w:jc w:val="both"/>
        <w:textAlignment w:val="auto"/>
        <w:outlineLvl w:val="9"/>
        <w:rPr>
          <w:rFonts w:hint="default" w:ascii="Times New Roman" w:hAnsi="Times New Roman" w:eastAsia="仿宋_GB2312" w:cs="Times New Roman"/>
          <w:sz w:val="32"/>
          <w:szCs w:val="32"/>
          <w:highlight w:val="none"/>
          <w:u w:val="none" w:color="auto"/>
          <w:lang w:val="en-US" w:eastAsia="zh-CN"/>
        </w:rPr>
      </w:pPr>
      <w:r>
        <w:rPr>
          <w:rFonts w:hint="default" w:ascii="Times New Roman" w:hAnsi="Times New Roman" w:eastAsia="楷体_GB2312" w:cs="Times New Roman"/>
          <w:b/>
          <w:bCs/>
          <w:color w:val="000000"/>
          <w:kern w:val="0"/>
          <w:sz w:val="32"/>
          <w:szCs w:val="32"/>
          <w:highlight w:val="none"/>
          <w:u w:val="none" w:color="auto"/>
          <w:lang w:val="en-US" w:eastAsia="zh-CN" w:bidi="ar"/>
        </w:rPr>
        <w:t>四是打造温润如玉“幸福之城”。</w:t>
      </w:r>
      <w:r>
        <w:rPr>
          <w:rFonts w:hint="default" w:ascii="Times New Roman" w:hAnsi="Times New Roman" w:eastAsia="仿宋_GB2312" w:cs="Times New Roman"/>
          <w:kern w:val="2"/>
          <w:sz w:val="32"/>
          <w:szCs w:val="32"/>
          <w:u w:val="none" w:color="auto"/>
          <w:lang w:val="en-US" w:eastAsia="zh-CN" w:bidi="ar-SA"/>
        </w:rPr>
        <w:t>持续推进人口高质量发展，</w:t>
      </w:r>
      <w:r>
        <w:rPr>
          <w:rFonts w:hint="default" w:ascii="Times New Roman" w:hAnsi="Times New Roman" w:eastAsia="仿宋_GB2312" w:cs="Times New Roman"/>
          <w:kern w:val="2"/>
          <w:sz w:val="32"/>
          <w:szCs w:val="32"/>
          <w:highlight w:val="none"/>
          <w:u w:val="none" w:color="auto"/>
          <w:lang w:val="en-US" w:eastAsia="zh-CN" w:bidi="ar-SA"/>
        </w:rPr>
        <w:t>保持常住人口总量稳定，</w:t>
      </w:r>
      <w:r>
        <w:rPr>
          <w:rFonts w:hint="default" w:ascii="Times New Roman" w:hAnsi="Times New Roman" w:eastAsia="仿宋_GB2312" w:cs="Times New Roman"/>
          <w:color w:val="000000"/>
          <w:kern w:val="0"/>
          <w:sz w:val="32"/>
          <w:szCs w:val="32"/>
          <w:highlight w:val="none"/>
          <w:u w:val="none" w:color="auto"/>
          <w:lang w:bidi="ar"/>
        </w:rPr>
        <w:t>按人口规模和服务半径统筹公共服务设施布局</w:t>
      </w:r>
      <w:r>
        <w:rPr>
          <w:rFonts w:hint="eastAsia" w:ascii="Times New Roman" w:hAnsi="Times New Roman" w:eastAsia="仿宋_GB2312" w:cs="Times New Roman"/>
          <w:color w:val="000000"/>
          <w:kern w:val="0"/>
          <w:sz w:val="32"/>
          <w:szCs w:val="32"/>
          <w:highlight w:val="none"/>
          <w:u w:val="none" w:color="auto"/>
          <w:lang w:eastAsia="zh-CN" w:bidi="ar"/>
        </w:rPr>
        <w:t>，</w:t>
      </w:r>
      <w:r>
        <w:rPr>
          <w:rFonts w:hint="default" w:ascii="Times New Roman" w:hAnsi="Times New Roman" w:eastAsia="仿宋_GB2312" w:cs="Times New Roman"/>
          <w:b w:val="0"/>
          <w:bCs w:val="0"/>
          <w:color w:val="000000"/>
          <w:kern w:val="0"/>
          <w:sz w:val="32"/>
          <w:szCs w:val="32"/>
          <w:highlight w:val="none"/>
          <w:u w:val="none" w:color="auto"/>
          <w:lang w:bidi="ar"/>
        </w:rPr>
        <w:t>开展昆城暖“新”品牌活动，</w:t>
      </w:r>
      <w:r>
        <w:rPr>
          <w:rFonts w:hint="default" w:ascii="Times New Roman" w:hAnsi="Times New Roman" w:eastAsia="仿宋_GB2312" w:cs="Times New Roman"/>
          <w:kern w:val="2"/>
          <w:sz w:val="32"/>
          <w:szCs w:val="32"/>
          <w:highlight w:val="none"/>
          <w:u w:val="none" w:color="auto"/>
          <w:lang w:val="en-US" w:eastAsia="zh-CN" w:bidi="ar-SA"/>
        </w:rPr>
        <w:t>落实对新昆山人服务保障，全面落实国家鼓励生育各项政策，加强对妇女儿童权益保护。促进高质量充分就业，</w:t>
      </w:r>
      <w:r>
        <w:rPr>
          <w:rFonts w:hint="default" w:ascii="Times New Roman" w:hAnsi="Times New Roman" w:eastAsia="仿宋_GB2312" w:cs="Times New Roman"/>
          <w:b w:val="0"/>
          <w:bCs w:val="0"/>
          <w:kern w:val="2"/>
          <w:sz w:val="32"/>
          <w:szCs w:val="32"/>
          <w:highlight w:val="none"/>
          <w:u w:val="none" w:color="auto"/>
          <w:lang w:val="en-US" w:eastAsia="zh-CN" w:bidi="ar-SA"/>
        </w:rPr>
        <w:t>完善重点群体就业帮扶机制，</w:t>
      </w:r>
      <w:r>
        <w:rPr>
          <w:rFonts w:hint="default" w:ascii="Times New Roman" w:hAnsi="Times New Roman" w:eastAsia="仿宋_GB2312" w:cs="Times New Roman"/>
          <w:sz w:val="32"/>
          <w:szCs w:val="32"/>
          <w:highlight w:val="none"/>
          <w:u w:val="none" w:color="auto"/>
          <w:lang w:val="en-US" w:eastAsia="zh-CN"/>
        </w:rPr>
        <w:t>建立多渠道灵活就业的保障制度，推广“家门口”就业服务新模式持续完善社会保障体系</w:t>
      </w:r>
      <w:r>
        <w:rPr>
          <w:rFonts w:hint="eastAsia" w:ascii="Times New Roman" w:hAnsi="Times New Roman" w:eastAsia="仿宋_GB2312" w:cs="Times New Roman"/>
          <w:sz w:val="32"/>
          <w:szCs w:val="32"/>
          <w:highlight w:val="none"/>
          <w:u w:val="none" w:color="auto"/>
          <w:lang w:val="en-US" w:eastAsia="zh-CN"/>
        </w:rPr>
        <w:t>，实现</w:t>
      </w:r>
      <w:r>
        <w:rPr>
          <w:rFonts w:hint="default" w:ascii="Times New Roman" w:hAnsi="Times New Roman" w:eastAsia="仿宋_GB2312" w:cs="Times New Roman"/>
          <w:sz w:val="32"/>
          <w:szCs w:val="32"/>
          <w:highlight w:val="none"/>
          <w:u w:val="none" w:color="auto"/>
          <w:lang w:val="en-US" w:eastAsia="zh-CN"/>
        </w:rPr>
        <w:t>社会保险、居民医保、社会救助扩面提效，优化保障性住房供给，</w:t>
      </w:r>
      <w:r>
        <w:rPr>
          <w:rFonts w:hint="eastAsia" w:ascii="Times New Roman" w:hAnsi="Times New Roman" w:eastAsia="仿宋_GB2312" w:cs="Times New Roman"/>
          <w:sz w:val="32"/>
          <w:szCs w:val="32"/>
          <w:highlight w:val="none"/>
          <w:u w:val="none" w:color="auto"/>
          <w:lang w:val="en-US" w:eastAsia="zh-CN"/>
        </w:rPr>
        <w:t>推动</w:t>
      </w:r>
      <w:r>
        <w:rPr>
          <w:rFonts w:hint="default" w:ascii="Times New Roman" w:hAnsi="Times New Roman" w:eastAsia="仿宋_GB2312" w:cs="Times New Roman"/>
          <w:kern w:val="2"/>
          <w:sz w:val="32"/>
          <w:szCs w:val="32"/>
          <w:highlight w:val="none"/>
          <w:u w:val="none" w:color="auto"/>
          <w:lang w:val="en-US" w:eastAsia="zh-CN" w:bidi="ar-SA"/>
        </w:rPr>
        <w:t>房地产市场平稳健康发展。健全普惠优质公共服务体系，办好人民满意教育，建设紧密县域医共体，完善优质医疗服务，提升养老设施建设和服务供给水平。传承弘扬新时代“昆山之路”精神，</w:t>
      </w:r>
      <w:r>
        <w:rPr>
          <w:rFonts w:hint="default" w:ascii="Times New Roman" w:hAnsi="Times New Roman" w:eastAsia="仿宋_GB2312" w:cs="Times New Roman"/>
          <w:kern w:val="0"/>
          <w:sz w:val="32"/>
          <w:szCs w:val="32"/>
          <w:highlight w:val="none"/>
          <w:u w:val="none" w:color="auto"/>
          <w:lang w:bidi="ar"/>
        </w:rPr>
        <w:t>擦亮“家在昆山</w:t>
      </w:r>
      <w:r>
        <w:rPr>
          <w:rFonts w:hint="default" w:ascii="Times New Roman" w:hAnsi="Times New Roman" w:eastAsia="仿宋_GB2312" w:cs="Times New Roman"/>
          <w:kern w:val="0"/>
          <w:sz w:val="32"/>
          <w:szCs w:val="32"/>
          <w:highlight w:val="none"/>
          <w:u w:val="none" w:color="auto"/>
          <w:lang w:val="en-US" w:eastAsia="zh-CN" w:bidi="ar"/>
        </w:rPr>
        <w:t xml:space="preserve"> </w:t>
      </w:r>
      <w:r>
        <w:rPr>
          <w:rFonts w:hint="default" w:ascii="Times New Roman" w:hAnsi="Times New Roman" w:eastAsia="仿宋_GB2312" w:cs="Times New Roman"/>
          <w:kern w:val="0"/>
          <w:sz w:val="32"/>
          <w:szCs w:val="32"/>
          <w:highlight w:val="none"/>
          <w:u w:val="none" w:color="auto"/>
          <w:lang w:bidi="ar"/>
        </w:rPr>
        <w:t>文明有我”品牌</w:t>
      </w:r>
      <w:r>
        <w:rPr>
          <w:rFonts w:hint="default" w:ascii="Times New Roman" w:hAnsi="Times New Roman" w:eastAsia="仿宋_GB2312" w:cs="Times New Roman"/>
          <w:kern w:val="0"/>
          <w:sz w:val="32"/>
          <w:szCs w:val="32"/>
          <w:highlight w:val="none"/>
          <w:u w:val="none" w:color="auto"/>
          <w:lang w:eastAsia="zh-CN" w:bidi="ar"/>
        </w:rPr>
        <w:t>，</w:t>
      </w:r>
      <w:r>
        <w:rPr>
          <w:rFonts w:hint="default" w:ascii="Times New Roman" w:hAnsi="Times New Roman" w:eastAsia="仿宋_GB2312" w:cs="Times New Roman"/>
          <w:kern w:val="0"/>
          <w:sz w:val="32"/>
          <w:szCs w:val="32"/>
          <w:highlight w:val="none"/>
          <w:u w:val="none" w:color="auto"/>
          <w:lang w:val="en-US" w:eastAsia="zh-CN" w:bidi="ar"/>
        </w:rPr>
        <w:t>支持</w:t>
      </w:r>
      <w:r>
        <w:rPr>
          <w:rFonts w:hint="default" w:ascii="Times New Roman" w:hAnsi="Times New Roman" w:eastAsia="仿宋_GB2312" w:cs="Times New Roman"/>
          <w:sz w:val="32"/>
          <w:szCs w:val="32"/>
          <w:highlight w:val="none"/>
          <w:u w:val="none" w:color="auto"/>
          <w:lang w:val="en-US" w:eastAsia="zh-CN" w:bidi="ar"/>
        </w:rPr>
        <w:t>昆曲文化、先贤文化活化利用和</w:t>
      </w:r>
      <w:r>
        <w:rPr>
          <w:rFonts w:hint="default" w:ascii="Times New Roman" w:hAnsi="Times New Roman" w:eastAsia="仿宋_GB2312" w:cs="Times New Roman"/>
          <w:color w:val="000000"/>
          <w:sz w:val="32"/>
          <w:szCs w:val="32"/>
          <w:highlight w:val="none"/>
          <w:u w:val="none" w:color="auto"/>
        </w:rPr>
        <w:t>创新发展</w:t>
      </w:r>
      <w:r>
        <w:rPr>
          <w:rFonts w:hint="default" w:ascii="Times New Roman" w:hAnsi="Times New Roman" w:eastAsia="仿宋_GB2312" w:cs="Times New Roman"/>
          <w:color w:val="000000"/>
          <w:sz w:val="32"/>
          <w:szCs w:val="32"/>
          <w:highlight w:val="none"/>
          <w:u w:val="none" w:color="auto"/>
          <w:lang w:eastAsia="zh"/>
        </w:rPr>
        <w:t>，</w:t>
      </w:r>
      <w:r>
        <w:rPr>
          <w:rFonts w:hint="eastAsia" w:ascii="Times New Roman" w:hAnsi="Times New Roman" w:eastAsia="仿宋_GB2312" w:cs="Times New Roman"/>
          <w:color w:val="000000"/>
          <w:sz w:val="32"/>
          <w:szCs w:val="32"/>
          <w:highlight w:val="none"/>
          <w:u w:val="none" w:color="auto"/>
          <w:lang w:val="en-US" w:eastAsia="zh-CN"/>
        </w:rPr>
        <w:t>建设中国戏曲之都，</w:t>
      </w:r>
      <w:r>
        <w:rPr>
          <w:rFonts w:hint="default" w:ascii="Times New Roman" w:hAnsi="Times New Roman" w:eastAsia="仿宋_GB2312" w:cs="Times New Roman"/>
          <w:color w:val="000000"/>
          <w:sz w:val="32"/>
          <w:szCs w:val="32"/>
          <w:highlight w:val="none"/>
          <w:u w:val="none" w:color="auto"/>
          <w:lang w:val="en-US" w:eastAsia="zh-CN"/>
        </w:rPr>
        <w:t>优化文艺创作、文体设施、文化活动等公共文化服务体系。建设安全高效的市域治理体系，</w:t>
      </w:r>
      <w:r>
        <w:rPr>
          <w:rFonts w:hint="default" w:ascii="Times New Roman" w:hAnsi="Times New Roman" w:eastAsia="仿宋_GB2312" w:cs="Times New Roman"/>
          <w:sz w:val="32"/>
          <w:szCs w:val="32"/>
          <w:highlight w:val="none"/>
          <w:u w:val="none" w:color="auto"/>
          <w:lang w:eastAsia="zh-CN"/>
        </w:rPr>
        <w:t>深化安全生产“六化”建设，防范化解重大风险，</w:t>
      </w:r>
      <w:r>
        <w:rPr>
          <w:rFonts w:hint="eastAsia" w:ascii="Times New Roman" w:hAnsi="Times New Roman" w:eastAsia="仿宋_GB2312" w:cs="Times New Roman"/>
          <w:sz w:val="32"/>
          <w:szCs w:val="32"/>
          <w:highlight w:val="none"/>
          <w:u w:val="none" w:color="auto"/>
          <w:lang w:val="en-US" w:eastAsia="zh-CN"/>
        </w:rPr>
        <w:t>加强</w:t>
      </w:r>
      <w:r>
        <w:rPr>
          <w:rFonts w:hint="default" w:ascii="Times New Roman" w:hAnsi="Times New Roman" w:eastAsia="仿宋_GB2312" w:cs="Times New Roman"/>
          <w:sz w:val="32"/>
          <w:szCs w:val="32"/>
          <w:highlight w:val="none"/>
          <w:u w:val="none" w:color="auto"/>
          <w:lang w:eastAsia="zh-CN"/>
        </w:rPr>
        <w:t>社会治安“</w:t>
      </w:r>
      <w:r>
        <w:rPr>
          <w:rFonts w:hint="default" w:ascii="Times New Roman" w:hAnsi="Times New Roman" w:eastAsia="仿宋_GB2312" w:cs="Times New Roman"/>
          <w:sz w:val="32"/>
          <w:szCs w:val="32"/>
          <w:highlight w:val="none"/>
          <w:u w:val="none" w:color="auto"/>
          <w:lang w:val="en-US" w:eastAsia="zh-CN"/>
        </w:rPr>
        <w:t>数智防控</w:t>
      </w:r>
      <w:r>
        <w:rPr>
          <w:rFonts w:hint="default" w:ascii="Times New Roman" w:hAnsi="Times New Roman"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lang w:val="en-US" w:eastAsia="zh-CN"/>
        </w:rPr>
        <w:t>建设。</w:t>
      </w:r>
      <w:r>
        <w:rPr>
          <w:rFonts w:hint="eastAsia" w:ascii="Times New Roman" w:hAnsi="Times New Roman" w:eastAsia="仿宋_GB2312" w:cs="Times New Roman"/>
          <w:sz w:val="32"/>
          <w:szCs w:val="32"/>
          <w:highlight w:val="none"/>
          <w:u w:val="none" w:color="auto"/>
          <w:lang w:val="en-US" w:eastAsia="zh-CN"/>
        </w:rPr>
        <w:t>深化</w:t>
      </w:r>
      <w:r>
        <w:rPr>
          <w:rFonts w:hint="default" w:ascii="Times New Roman" w:hAnsi="Times New Roman" w:eastAsia="仿宋_GB2312" w:cs="Times New Roman"/>
          <w:sz w:val="32"/>
          <w:szCs w:val="32"/>
          <w:highlight w:val="none"/>
          <w:u w:val="none" w:color="auto"/>
          <w:lang w:val="en-US" w:eastAsia="zh-CN"/>
        </w:rPr>
        <w:t>党建引领基层治理，</w:t>
      </w:r>
      <w:r>
        <w:rPr>
          <w:rFonts w:hint="eastAsia" w:ascii="Times New Roman" w:hAnsi="Times New Roman" w:eastAsia="仿宋_GB2312" w:cs="Times New Roman"/>
          <w:sz w:val="32"/>
          <w:szCs w:val="32"/>
          <w:highlight w:val="none"/>
          <w:u w:val="none" w:color="auto"/>
          <w:lang w:val="en-US" w:eastAsia="zh-CN"/>
        </w:rPr>
        <w:t>加大</w:t>
      </w:r>
      <w:r>
        <w:rPr>
          <w:rFonts w:hint="default" w:ascii="Times New Roman" w:hAnsi="Times New Roman" w:eastAsia="仿宋_GB2312" w:cs="Times New Roman"/>
          <w:b w:val="0"/>
          <w:bCs w:val="0"/>
          <w:kern w:val="2"/>
          <w:sz w:val="32"/>
          <w:szCs w:val="32"/>
          <w:highlight w:val="none"/>
          <w:u w:val="none" w:color="auto"/>
          <w:lang w:val="en-US" w:eastAsia="zh-CN" w:bidi="ar-SA"/>
        </w:rPr>
        <w:t>“海棠花红”三级党群服务体系建设</w:t>
      </w:r>
      <w:r>
        <w:rPr>
          <w:rFonts w:hint="eastAsia" w:ascii="Times New Roman" w:hAnsi="Times New Roman" w:eastAsia="仿宋_GB2312" w:cs="Times New Roman"/>
          <w:b w:val="0"/>
          <w:bCs w:val="0"/>
          <w:kern w:val="2"/>
          <w:sz w:val="32"/>
          <w:szCs w:val="32"/>
          <w:highlight w:val="none"/>
          <w:u w:val="none" w:color="auto"/>
          <w:lang w:val="en-US" w:eastAsia="zh-CN" w:bidi="ar-SA"/>
        </w:rPr>
        <w:t>力度</w:t>
      </w:r>
      <w:r>
        <w:rPr>
          <w:rFonts w:hint="default" w:ascii="Times New Roman" w:hAnsi="Times New Roman" w:eastAsia="仿宋_GB2312" w:cs="Times New Roman"/>
          <w:b w:val="0"/>
          <w:bCs w:val="0"/>
          <w:kern w:val="2"/>
          <w:sz w:val="32"/>
          <w:szCs w:val="32"/>
          <w:highlight w:val="none"/>
          <w:u w:val="none" w:color="auto"/>
          <w:lang w:val="en-US" w:eastAsia="zh-CN" w:bidi="ar-SA"/>
        </w:rPr>
        <w:t>，推广“红管先锋”基层治理模式，全面开展“枫桥式”村（社区）创建活动。</w:t>
      </w:r>
      <w:r>
        <w:rPr>
          <w:rFonts w:hint="eastAsia" w:ascii="Times New Roman" w:hAnsi="Times New Roman" w:eastAsia="仿宋_GB2312" w:cs="Times New Roman"/>
          <w:b w:val="0"/>
          <w:bCs w:val="0"/>
          <w:kern w:val="2"/>
          <w:sz w:val="32"/>
          <w:szCs w:val="32"/>
          <w:highlight w:val="none"/>
          <w:u w:val="none" w:color="auto"/>
          <w:lang w:val="en-US" w:eastAsia="zh-CN" w:bidi="ar-SA"/>
        </w:rPr>
        <w:t>全面深化</w:t>
      </w:r>
      <w:r>
        <w:rPr>
          <w:rFonts w:hint="default" w:ascii="Times New Roman" w:hAnsi="Times New Roman" w:eastAsia="仿宋_GB2312" w:cs="Times New Roman"/>
          <w:b w:val="0"/>
          <w:bCs w:val="0"/>
          <w:kern w:val="2"/>
          <w:sz w:val="32"/>
          <w:szCs w:val="32"/>
          <w:highlight w:val="none"/>
          <w:u w:val="none" w:color="auto"/>
          <w:lang w:val="en-US" w:eastAsia="zh-CN" w:bidi="ar-SA"/>
        </w:rPr>
        <w:t>法治昆山建设，深入推进依法行政，健全公正司法执法。</w:t>
      </w:r>
    </w:p>
    <w:bookmarkEnd w:id="3"/>
    <w:p w14:paraId="52F38B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bookmarkStart w:id="4" w:name="OLE_LINK5"/>
      <w:bookmarkStart w:id="5" w:name="OLE_LINK6"/>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、强化实施保障</w:t>
      </w:r>
    </w:p>
    <w:p w14:paraId="629437C0">
      <w:pPr>
        <w:keepNext w:val="0"/>
        <w:keepLines w:val="0"/>
        <w:pageBreakBefore w:val="0"/>
        <w:widowControl w:val="0"/>
        <w:numPr>
          <w:ilvl w:val="0"/>
          <w:numId w:val="0"/>
        </w:numPr>
        <w:kinsoku/>
        <w:wordWrap/>
        <w:overflowPunct w:val="0"/>
        <w:topLinePunct/>
        <w:autoSpaceDE/>
        <w:autoSpaceDN/>
        <w:bidi w:val="0"/>
        <w:adjustRightInd w:val="0"/>
        <w:snapToGrid/>
        <w:spacing w:after="0" w:line="600" w:lineRule="exact"/>
        <w:ind w:left="0" w:leftChars="0" w:firstLine="643" w:firstLineChars="200"/>
        <w:jc w:val="both"/>
        <w:textAlignment w:val="auto"/>
        <w:rPr>
          <w:rFonts w:hint="default" w:ascii="Times New Roman" w:hAnsi="Times New Roman" w:cs="Times New Roman"/>
          <w:highlight w:val="none"/>
          <w:u w:val="none" w:color="auto"/>
        </w:rPr>
      </w:pPr>
      <w:r>
        <w:rPr>
          <w:rFonts w:hint="default" w:ascii="Times New Roman" w:hAnsi="Times New Roman" w:eastAsia="楷体_GB2312" w:cs="Times New Roman"/>
          <w:b/>
          <w:bCs/>
          <w:color w:val="000000"/>
          <w:kern w:val="0"/>
          <w:sz w:val="32"/>
          <w:szCs w:val="32"/>
          <w:highlight w:val="none"/>
          <w:u w:val="none" w:color="auto"/>
          <w:lang w:val="en-US" w:eastAsia="zh-CN" w:bidi="ar"/>
        </w:rPr>
        <w:t>一是坚持和加强党的领导。</w:t>
      </w:r>
      <w:r>
        <w:rPr>
          <w:rFonts w:hint="default" w:ascii="Times New Roman" w:hAnsi="Times New Roman" w:eastAsia="仿宋_GB2312" w:cs="Times New Roman"/>
          <w:sz w:val="32"/>
          <w:szCs w:val="32"/>
          <w:highlight w:val="none"/>
          <w:u w:val="none" w:color="auto"/>
          <w:lang w:val="en-US" w:eastAsia="zh-CN" w:bidi="ar"/>
        </w:rPr>
        <w:t>坚持党领导经济社会发展规划工作的核心地位</w:t>
      </w:r>
      <w:r>
        <w:rPr>
          <w:rFonts w:hint="default" w:ascii="Times New Roman" w:hAnsi="Times New Roman" w:eastAsia="仿宋_GB2312" w:cs="Times New Roman"/>
          <w:sz w:val="32"/>
          <w:szCs w:val="32"/>
          <w:highlight w:val="none"/>
          <w:u w:val="none" w:color="auto"/>
          <w:lang w:bidi="ar"/>
        </w:rPr>
        <w:t>，切实增强“四个意识”、坚定“四个自信”、做到“两个维护”。坚持党总揽全局、协调各方，确保党在经济社会发展规划工作</w:t>
      </w:r>
      <w:r>
        <w:rPr>
          <w:rFonts w:hint="default" w:ascii="Times New Roman" w:hAnsi="Times New Roman" w:eastAsia="仿宋_GB2312" w:cs="Times New Roman"/>
          <w:sz w:val="32"/>
          <w:szCs w:val="32"/>
          <w:highlight w:val="none"/>
          <w:u w:val="none" w:color="auto"/>
          <w:lang w:eastAsia="zh-CN" w:bidi="ar"/>
        </w:rPr>
        <w:t>上把方向、谋大局</w:t>
      </w:r>
      <w:r>
        <w:rPr>
          <w:rFonts w:hint="default" w:ascii="Times New Roman" w:hAnsi="Times New Roman" w:eastAsia="仿宋_GB2312" w:cs="Times New Roman"/>
          <w:sz w:val="32"/>
          <w:szCs w:val="32"/>
          <w:highlight w:val="none"/>
          <w:u w:val="none" w:color="auto"/>
          <w:lang w:bidi="ar"/>
        </w:rPr>
        <w:t>。</w:t>
      </w:r>
      <w:r>
        <w:rPr>
          <w:rFonts w:hint="default" w:ascii="Times New Roman" w:hAnsi="Times New Roman" w:eastAsia="仿宋_GB2312" w:cs="Times New Roman"/>
          <w:sz w:val="32"/>
          <w:szCs w:val="32"/>
          <w:highlight w:val="none"/>
          <w:u w:val="none" w:color="auto"/>
          <w:lang w:val="en-US" w:eastAsia="zh-CN" w:bidi="ar"/>
        </w:rPr>
        <w:t>全面提升党领导经济社会发展规划工作的能力，</w:t>
      </w:r>
      <w:r>
        <w:rPr>
          <w:rFonts w:hint="default" w:ascii="Times New Roman" w:hAnsi="Times New Roman" w:eastAsia="仿宋_GB2312" w:cs="Times New Roman"/>
          <w:sz w:val="32"/>
          <w:szCs w:val="32"/>
          <w:highlight w:val="none"/>
          <w:u w:val="none" w:color="auto"/>
          <w:lang w:bidi="ar"/>
        </w:rPr>
        <w:t>健全决策咨询机制，推动科学民主决策。</w:t>
      </w:r>
    </w:p>
    <w:p w14:paraId="27D2FA97">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Times New Roman" w:hAnsi="Times New Roman" w:cs="Times New Roman"/>
          <w:highlight w:val="none"/>
          <w:u w:val="none" w:color="auto"/>
        </w:rPr>
      </w:pPr>
      <w:r>
        <w:rPr>
          <w:rFonts w:hint="default" w:ascii="Times New Roman" w:hAnsi="Times New Roman" w:eastAsia="楷体_GB2312" w:cs="Times New Roman"/>
          <w:b/>
          <w:bCs/>
          <w:color w:val="000000"/>
          <w:kern w:val="0"/>
          <w:sz w:val="32"/>
          <w:szCs w:val="32"/>
          <w:highlight w:val="none"/>
          <w:u w:val="none" w:color="auto"/>
          <w:lang w:val="en-US" w:eastAsia="zh-CN" w:bidi="ar"/>
        </w:rPr>
        <w:t>二是广泛汇聚社会各方面力量。</w:t>
      </w:r>
      <w:r>
        <w:rPr>
          <w:rFonts w:hint="default" w:ascii="Times New Roman" w:hAnsi="Times New Roman" w:eastAsia="仿宋_GB2312" w:cs="Times New Roman"/>
          <w:sz w:val="32"/>
          <w:szCs w:val="32"/>
          <w:highlight w:val="none"/>
          <w:u w:val="none" w:color="auto"/>
          <w:lang w:bidi="ar"/>
        </w:rPr>
        <w:t>坚持和完善人民代表大会制度、中国共产党领导的多党合作和政治协商制度、基层群众自治制度，强化工会、共青团、妇联等群团组织功能，广泛汇聚社会各界智慧和力量，形成推动规划编制与实施的整体合力。加强舆论引导，创新宣传载体与方式，充分调动一切积极因素，为规划落实凝聚共识、汇聚动能，提供有力支撑。</w:t>
      </w:r>
    </w:p>
    <w:p w14:paraId="678DE9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u w:val="none" w:color="auto"/>
          <w:lang w:val="en-US" w:eastAsia="zh-CN" w:bidi="ar"/>
        </w:rPr>
        <w:t>三是健全完善规划实施机制。</w:t>
      </w:r>
      <w:r>
        <w:rPr>
          <w:rFonts w:hint="default" w:ascii="Times New Roman" w:hAnsi="Times New Roman" w:eastAsia="仿宋_GB2312" w:cs="Times New Roman"/>
          <w:sz w:val="32"/>
          <w:szCs w:val="32"/>
          <w:lang w:val="en-US" w:eastAsia="zh-CN"/>
        </w:rPr>
        <w:t>建立以市发展规划为统领、空间规划为基础、专项规划和区域规划为支撑，定位准确、边界清晰、功能互补、统一衔接的市级规划体系。坚持规划定方向、财政作保障、金融为支撑、其他政策相协调，着力构建规划与宏观政策协调联动机制，发挥好重大项目对规划落实的支撑作用。以本规划为依据，制定实施方案、重点领域行动计划和年度计划，确保规划目标任务得到有效落实。强化年度计划与纲要目标的衔接联动，合理设置年度目标并做好年度间综合平衡。</w:t>
      </w:r>
    </w:p>
    <w:p w14:paraId="1526B2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u w:val="none" w:color="auto"/>
          <w:lang w:val="en-US" w:eastAsia="zh-CN" w:bidi="ar"/>
        </w:rPr>
        <w:t>四是着力加强规划实施评估。</w:t>
      </w:r>
      <w:bookmarkStart w:id="6" w:name="heading_51"/>
      <w:r>
        <w:rPr>
          <w:rFonts w:hint="default" w:ascii="Times New Roman" w:hAnsi="Times New Roman" w:eastAsia="仿宋_GB2312" w:cs="Times New Roman"/>
          <w:sz w:val="32"/>
          <w:szCs w:val="32"/>
          <w:lang w:val="en-US" w:eastAsia="zh-CN"/>
        </w:rPr>
        <w:t>完善规划主要指标监测、评估制度，适时开展规划实施情况的动态监测、中期评估和总结评估。强化规划权威性、严肃性，调整和修订必须按规定程序依法进行。完善规划实施监督机制，发挥行政监察、组织人事、统计审计等监督作用，完善政府向人大、政协的报告和沟通机制。推进规划实施的信息公开，自觉接受社会各界的监督并积极听取公众意见，提高规划实施的透明度和公众参与度。</w:t>
      </w:r>
      <w:bookmarkEnd w:id="6"/>
    </w:p>
    <w:bookmarkEnd w:id="4"/>
    <w:bookmarkEnd w:id="5"/>
    <w:p w14:paraId="4849F0C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3E4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50B0A">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50B0A">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77"/>
    <w:rsid w:val="00072BFA"/>
    <w:rsid w:val="001607E2"/>
    <w:rsid w:val="0019647E"/>
    <w:rsid w:val="006031A0"/>
    <w:rsid w:val="008B0BF9"/>
    <w:rsid w:val="00907E77"/>
    <w:rsid w:val="00940A2D"/>
    <w:rsid w:val="00CE199C"/>
    <w:rsid w:val="00E57928"/>
    <w:rsid w:val="00FC6B0E"/>
    <w:rsid w:val="09CF52E7"/>
    <w:rsid w:val="0A960E3D"/>
    <w:rsid w:val="0B564379"/>
    <w:rsid w:val="10B73B62"/>
    <w:rsid w:val="18663077"/>
    <w:rsid w:val="1D9D21A3"/>
    <w:rsid w:val="221D017E"/>
    <w:rsid w:val="224D2E05"/>
    <w:rsid w:val="2DD438A6"/>
    <w:rsid w:val="2E8F3FF6"/>
    <w:rsid w:val="3AD4138A"/>
    <w:rsid w:val="3FFFA70E"/>
    <w:rsid w:val="5F8D54E0"/>
    <w:rsid w:val="69B226F6"/>
    <w:rsid w:val="7ADF987E"/>
    <w:rsid w:val="7AEC3004"/>
    <w:rsid w:val="7C1E3C37"/>
    <w:rsid w:val="9BFB4573"/>
    <w:rsid w:val="DCEFDBD5"/>
    <w:rsid w:val="F74F3798"/>
    <w:rsid w:val="FFF7A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0" w:beforeAutospacing="0" w:after="0" w:afterAutospacing="0" w:line="600" w:lineRule="exact"/>
      <w:ind w:firstLine="1041" w:firstLineChars="200"/>
      <w:jc w:val="both"/>
      <w:outlineLvl w:val="2"/>
    </w:pPr>
    <w:rPr>
      <w:rFonts w:hint="eastAsia" w:ascii="宋体" w:hAnsi="宋体" w:eastAsia="仿宋_GB2312" w:cs="宋体"/>
      <w:b/>
      <w:bCs/>
      <w:kern w:val="0"/>
      <w:sz w:val="32"/>
      <w:szCs w:val="27"/>
      <w:lang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71275196-a809-4148-8747-43e3dfca18e7</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 F6F11EF</paraID>
      <start>82</start>
      <end>87</end>
      <status>unmodified</status>
      <modifiedWord/>
      <trackRevisions>false</trackRevisions>
    </reviewItem>
    <reviewItem>
      <errorID>ff218f75-7f39-4533-a0dc-6912e680b669</errorID>
      <errorWord>市委市政府</errorWord>
      <group>L1_Word</group>
      <groupName>字词问题</groupName>
      <ability>L2_Typo</ability>
      <abilityName>字词错误</abilityName>
      <candidateList>
        <item>市委、市政府</item>
      </candidateList>
      <explain/>
      <paraID> F6F11EF</paraID>
      <start>90</start>
      <end>95</end>
      <status>unmodified</status>
      <modifiedWord/>
      <trackRevisions>false</trackRevisions>
    </reviewItem>
    <reviewItem>
      <errorID>2f6448e8-bb9d-44f0-8db0-e32cfe54b48e</errorID>
      <errorWord>蓝天、碧水、净土三大攻坚战</errorWord>
      <group>L1_Political</group>
      <groupName>政治性问题</groupName>
      <ability>L2_Keyword</ability>
      <abilityName>固定表述</abilityName>
      <candidateList>
        <item>蓝天、碧水、净土三大保卫战</item>
      </candidateList>
      <explain>词汇“蓝天、碧水、净土三大保卫战”在特定场景下为固定表述形式，请确认此处的“蓝天、碧水、净土三大攻坚战”是否存在不当。</explain>
      <paraID> F6F11EF</paraID>
      <start>983</start>
      <end>996</end>
      <status>unmodified</status>
      <modifiedWord/>
      <trackRevisions>false</trackRevisions>
    </reviewItem>
    <reviewItem>
      <errorID>0ca3aa7b-9f64-4534-b307-83216d20702e</errorID>
      <errorWord>、和</errorWord>
      <group>L1_Punc</group>
      <groupName>标点问题</groupName>
      <ability>L2_Punc</ability>
      <abilityName>标点符号检查</abilityName>
      <candidateList>
        <item>和</item>
      </candidateList>
      <explain>“及”“和”“等”连词前不宜使用顿号，建议删除（或使用逗号）。</explain>
      <paraID>29A6CDF0</paraID>
      <start>90</start>
      <end>92</end>
      <status>unmodified</status>
      <modifiedWord/>
      <trackRevisions>false</trackRevisions>
    </reviewItem>
    <reviewItem>
      <errorID>7cfaeefb-57ff-4e6f-843f-06ef826ae582</errorID>
      <errorWord>。</errorWord>
      <group>L1_Punc</group>
      <groupName>标点问题</groupName>
      <ability>L2_Punc</ability>
      <abilityName>标点符号检查</abilityName>
      <candidateList>
        <item/>
      </candidateList>
      <explain>标题文本后不使用标点符号。</explain>
      <paraID> 14D779A</paraID>
      <start>20</start>
      <end>21</end>
      <status>unmodified</status>
      <modifiedWord/>
      <trackRevisions>false</trackRevisions>
    </reviewItem>
    <reviewItem>
      <errorID>0ed1162f-90d0-469d-8fcf-f0e1bca1958c</errorID>
      <errorWord>。</errorWord>
      <group>L1_Punc</group>
      <groupName>标点问题</groupName>
      <ability>L2_Punc</ability>
      <abilityName>标点符号检查</abilityName>
      <candidateList>
        <item/>
      </candidateList>
      <explain>标题文本后不使用标点符号。</explain>
      <paraID>4CA51551</paraID>
      <start>20</start>
      <end>21</end>
      <status>unmodified</status>
      <modifiedWord/>
      <trackRevisions>false</trackRevisions>
    </reviewItem>
    <reviewItem>
      <errorID>107b4cba-5cc9-469b-9867-78ef6c3b1dae</errorID>
      <errorWord>。</errorWord>
      <group>L1_Punc</group>
      <groupName>标点问题</groupName>
      <ability>L2_Punc</ability>
      <abilityName>标点符号检查</abilityName>
      <candidateList>
        <item/>
      </candidateList>
      <explain>标题文本后不使用标点符号。</explain>
      <paraID>186FF448</paraID>
      <start>20</start>
      <end>21</end>
      <status>unmodified</status>
      <modifiedWord/>
      <trackRevisions>false</trackRevisions>
    </reviewItem>
    <reviewItem>
      <errorID>9de85851-b96f-44ec-937b-18322a90afbf</errorID>
      <errorWord>。</errorWord>
      <group>L1_Punc</group>
      <groupName>标点问题</groupName>
      <ability>L2_Punc</ability>
      <abilityName>标点符号检查</abilityName>
      <candidateList>
        <item/>
      </candidateList>
      <explain>标题文本后不使用标点符号。</explain>
      <paraID>579E9EC6</paraID>
      <start>20</start>
      <end>21</end>
      <status>unmodified</status>
      <modifiedWord/>
      <trackRevisions>false</trackRevisions>
    </reviewItem>
    <reviewItem>
      <errorID>be0d63a3-a2f0-4d87-bb71-54b5105d4299</errorID>
      <errorWord>。</errorWord>
      <group>L1_Punc</group>
      <groupName>标点问题</groupName>
      <ability>L2_Punc</ability>
      <abilityName>标点符号检查</abilityName>
      <candidateList>
        <item/>
      </candidateList>
      <explain>标题文本后不使用标点符号。</explain>
      <paraID>2ACB9D7B</paraID>
      <start>20</start>
      <end>21</end>
      <status>unmodified</status>
      <modifiedWord/>
      <trackRevisions>false</trackRevisions>
    </reviewItem>
    <reviewItem>
      <errorID>7c08813a-b18c-4c12-9a8a-5a16c6404243</errorID>
      <errorWord>。</errorWord>
      <group>L1_Punc</group>
      <groupName>标点问题</groupName>
      <ability>L2_Punc</ability>
      <abilityName>标点符号检查</abilityName>
      <candidateList>
        <item/>
      </candidateList>
      <explain>标题文本后不使用标点符号。</explain>
      <paraID>7E50126B</paraID>
      <start>20</start>
      <end>21</end>
      <status>unmodified</status>
      <modifiedWord/>
      <trackRevisions>false</trackRevisions>
    </reviewItem>
    <reviewItem>
      <errorID>8d4479bc-9695-45d9-a387-ef91ff49528d</errorID>
      <errorWord>II型</errorWord>
      <group>L1_Knowledge</group>
      <groupName>知识性问题</groupName>
      <ability>L2_Knowledge</ability>
      <abilityName>其他知识</abilityName>
      <candidateList>
        <item>Ⅱ型</item>
      </candidateList>
      <explain/>
      <paraID>2D7B96FF</paraID>
      <start>133</start>
      <end>136</end>
      <status>unmodified</status>
      <modifiedWord/>
      <trackRevisions>false</trackRevisions>
    </reviewItem>
    <reviewItem>
      <errorID>f64ed7f3-c0a9-43f9-bc4c-a50052bfc7a7</errorID>
      <errorWord>-</errorWord>
      <group>L1_Format</group>
      <groupName>格式问题</groupName>
      <ability>L2_HalfPunc</ability>
      <abilityName>全半角检查</abilityName>
      <candidateList>
        <item>－</item>
      </candidateList>
      <explain>文本全半角错误。</explain>
      <paraID>32D26859</paraID>
      <start>204</start>
      <end>205</end>
      <status>unmodified</status>
      <modifiedWord/>
      <trackRevisions>false</trackRevisions>
    </reviewItem>
    <reviewItem>
      <errorID>e4491a90-fffa-4903-91d9-6605e3a9d4ab</errorID>
      <errorWord>-</errorWord>
      <group>L1_Format</group>
      <groupName>格式问题</groupName>
      <ability>L2_HalfPunc</ability>
      <abilityName>全半角检查</abilityName>
      <candidateList>
        <item>－</item>
      </candidateList>
      <explain>文本全半角错误。</explain>
      <paraID>32D26859</paraID>
      <start>207</start>
      <end>208</end>
      <status>unmodified</status>
      <modifiedWord/>
      <trackRevisions>false</trackRevisions>
    </reviewItem>
    <reviewItem>
      <errorID>5860e50b-b5fd-40c4-badd-1387db243b25</errorID>
      <errorWord>双招双引</errorWord>
      <group>L1_Political</group>
      <groupName>政治性问题</groupName>
      <ability>L2_Unpolitical</ability>
      <abilityName>政治敏感错误</abilityName>
      <candidateList>
        <item>“双招双引”</item>
      </candidateList>
      <explain/>
      <paraID>32D26859</paraID>
      <start>460</start>
      <end>464</end>
      <status>unmodified</status>
      <modifiedWord/>
      <trackRevisions>false</trackRevisions>
    </reviewItem>
    <reviewItem>
      <errorID>7e3f82cb-35ba-4221-bfcd-fcff246f5558</errorID>
      <errorWord>办好人民满意教育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词汇“办好人民满意的教育”在特定场景下为固定表述形式，请确认此处的“办好人民满意教育”是否存在不当。</explain>
      <paraID>1B27B1C9</paraID>
      <start>212</start>
      <end>220</end>
      <status>unmodified</status>
      <modifiedWord/>
      <trackRevisions>false</trackRevisions>
    </reviewItem>
    <reviewItem>
      <errorID>1bc8ba92-502a-4819-a95f-4d46870aee9b</errorID>
      <errorWord>紧密县域</errorWord>
      <group>L1_Knowledge</group>
      <groupName>知识性问题</groupName>
      <ability>L2_Knowledge</ability>
      <abilityName>其他知识</abilityName>
      <candidateList>
        <item>紧密型县域</item>
      </candidateList>
      <explain/>
      <paraID>1B27B1C9</paraID>
      <start>223</start>
      <end>227</end>
      <status>unmodified</status>
      <modifiedWord/>
      <trackRevisions>false</trackRevisions>
    </reviewItem>
    <reviewItem>
      <errorID>ed8dc123-6cab-4fa4-b12b-8f0aff9ae7d1</errorID>
      <errorWord>坚持和加强党的领导</errorWord>
      <group>L1_Word</group>
      <groupName>字词问题</groupName>
      <ability>L2_Typo</ability>
      <abilityName>字词错误</abilityName>
      <candidateList>
        <item>坚持和加强党的全面领导</item>
      </candidateList>
      <explain/>
      <paraID>629437C0</paraID>
      <start>2</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c6d1a-7418-46ca-a683-0db3a2706d79}">
  <ds:schemaRefs/>
</ds:datastoreItem>
</file>

<file path=docProps/app.xml><?xml version="1.0" encoding="utf-8"?>
<Properties xmlns="http://schemas.openxmlformats.org/officeDocument/2006/extended-properties" xmlns:vt="http://schemas.openxmlformats.org/officeDocument/2006/docPropsVTypes">
  <Template>Normal</Template>
  <Pages>12</Pages>
  <Words>6922</Words>
  <Characters>7026</Characters>
  <Lines>16</Lines>
  <Paragraphs>4</Paragraphs>
  <TotalTime>33</TotalTime>
  <ScaleCrop>false</ScaleCrop>
  <LinksUpToDate>false</LinksUpToDate>
  <CharactersWithSpaces>7033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2025-10-10T10:37:00Z</dcterms:created>
  <dc:creator>张鹏</dc:creator>
  <cp:lastModifiedBy>小程程</cp:lastModifiedBy>
  <cp:lastPrinted>2025-11-14T07:14:00Z</cp:lastPrinted>
  <dcterms:modified xsi:type="dcterms:W3CDTF">2025-11-17T02:35:00Z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1ECAB67278F94F3C847B776A10518AA3_13</vt:lpwstr>
  </property>
  <property fmtid="{D5CDD505-2E9C-101B-9397-08002B2CF9AE}" pid="4" name="KSOTemplateDocerSaveRecord">
    <vt:lpwstr>eyJoZGlkIjoiZjNjNjc3ODFjNGE0ZWFiOTQzN2FmNWYwMWU5MjkzYTciLCJ1c2VySWQiOiIxMjA2MzExODg2In0=</vt:lpwstr>
  </property>
</Properties>
</file>