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3A0D8">
      <w:pPr>
        <w:keepNext w:val="0"/>
        <w:keepLines w:val="0"/>
        <w:pageBreakBefore w:val="0"/>
        <w:widowControl w:val="0"/>
        <w:kinsoku/>
        <w:wordWrap/>
        <w:overflowPunct w:val="0"/>
        <w:topLinePunct w:val="0"/>
        <w:autoSpaceDE/>
        <w:autoSpaceDN/>
        <w:bidi w:val="0"/>
        <w:adjustRightInd w:val="0"/>
        <w:snapToGrid w:val="0"/>
        <w:spacing w:line="600" w:lineRule="exact"/>
        <w:jc w:val="center"/>
        <w:textAlignment w:val="auto"/>
        <w:rPr>
          <w:rFonts w:hint="default" w:ascii="Times New Roman" w:hAnsi="Times New Roman" w:eastAsia="方正小标宋简体" w:cs="Times New Roman"/>
          <w:snapToGrid w:val="0"/>
          <w:color w:val="auto"/>
          <w:kern w:val="0"/>
          <w:sz w:val="44"/>
          <w:szCs w:val="44"/>
          <w:highlight w:val="none"/>
          <w:lang w:val="en-US" w:eastAsia="zh-CN"/>
        </w:rPr>
      </w:pPr>
    </w:p>
    <w:p w14:paraId="0B662A26">
      <w:pPr>
        <w:keepNext w:val="0"/>
        <w:keepLines w:val="0"/>
        <w:pageBreakBefore w:val="0"/>
        <w:widowControl w:val="0"/>
        <w:kinsoku/>
        <w:wordWrap/>
        <w:overflowPunct w:val="0"/>
        <w:topLinePunct w:val="0"/>
        <w:autoSpaceDE/>
        <w:autoSpaceDN/>
        <w:bidi w:val="0"/>
        <w:adjustRightInd w:val="0"/>
        <w:snapToGrid w:val="0"/>
        <w:spacing w:line="600" w:lineRule="exact"/>
        <w:jc w:val="center"/>
        <w:textAlignment w:val="auto"/>
        <w:rPr>
          <w:rFonts w:hint="default" w:ascii="Times New Roman" w:hAnsi="Times New Roman" w:eastAsia="楷体_GB2312" w:cs="Times New Roman"/>
          <w:b w:val="0"/>
          <w:bCs w:val="0"/>
          <w:snapToGrid w:val="0"/>
          <w:color w:val="auto"/>
          <w:kern w:val="0"/>
          <w:sz w:val="32"/>
          <w:szCs w:val="32"/>
          <w:highlight w:val="none"/>
          <w:lang w:val="en-US" w:eastAsia="zh-CN"/>
        </w:rPr>
      </w:pPr>
      <w:r>
        <w:rPr>
          <w:rFonts w:hint="eastAsia" w:eastAsia="方正小标宋简体" w:cs="Times New Roman"/>
          <w:snapToGrid w:val="0"/>
          <w:color w:val="auto"/>
          <w:kern w:val="0"/>
          <w:sz w:val="44"/>
          <w:szCs w:val="44"/>
          <w:highlight w:val="none"/>
          <w:lang w:val="en-US" w:eastAsia="zh-CN"/>
        </w:rPr>
        <w:t>关于大力推进社区嵌入式服务设施建设，为人民群众提供更为优质普惠公共服务的实施方案（征求意见稿）</w:t>
      </w:r>
    </w:p>
    <w:p w14:paraId="6422B1D6">
      <w:pPr>
        <w:keepNext w:val="0"/>
        <w:keepLines w:val="0"/>
        <w:pageBreakBefore w:val="0"/>
        <w:kinsoku/>
        <w:wordWrap/>
        <w:overflowPunct w:val="0"/>
        <w:topLinePunct w:val="0"/>
        <w:autoSpaceDE/>
        <w:autoSpaceDN/>
        <w:bidi w:val="0"/>
        <w:adjustRightInd w:val="0"/>
        <w:snapToGrid w:val="0"/>
        <w:spacing w:line="600" w:lineRule="exact"/>
        <w:textAlignment w:val="auto"/>
        <w:rPr>
          <w:rFonts w:hint="default" w:ascii="Times New Roman" w:hAnsi="Times New Roman" w:cs="Times New Roman"/>
          <w:snapToGrid w:val="0"/>
          <w:color w:val="auto"/>
          <w:kern w:val="0"/>
          <w:szCs w:val="32"/>
          <w:highlight w:val="none"/>
        </w:rPr>
      </w:pPr>
      <w:bookmarkStart w:id="0" w:name="_GoBack"/>
      <w:bookmarkEnd w:id="0"/>
    </w:p>
    <w:p w14:paraId="28AE5DB1">
      <w:pPr>
        <w:keepNext w:val="0"/>
        <w:keepLines w:val="0"/>
        <w:pageBreakBefore w:val="0"/>
        <w:widowControl/>
        <w:kinsoku/>
        <w:wordWrap/>
        <w:topLinePunct w:val="0"/>
        <w:autoSpaceDE/>
        <w:autoSpaceDN/>
        <w:bidi w:val="0"/>
        <w:snapToGrid w:val="0"/>
        <w:spacing w:line="600" w:lineRule="exact"/>
        <w:ind w:firstLine="640" w:firstLineChars="200"/>
        <w:textAlignment w:val="auto"/>
        <w:rPr>
          <w:rFonts w:hint="default" w:ascii="Times New Roman" w:hAnsi="Times New Roman" w:eastAsia="仿宋_GB2312" w:cs="Times New Roman"/>
          <w:snapToGrid w:val="0"/>
          <w:color w:val="auto"/>
          <w:spacing w:val="0"/>
          <w:kern w:val="0"/>
          <w:szCs w:val="32"/>
          <w:highlight w:val="none"/>
        </w:rPr>
      </w:pPr>
      <w:r>
        <w:rPr>
          <w:rFonts w:hint="default" w:ascii="Times New Roman" w:hAnsi="Times New Roman" w:eastAsia="仿宋_GB2312" w:cs="Times New Roman"/>
          <w:snapToGrid w:val="0"/>
          <w:color w:val="auto"/>
          <w:spacing w:val="0"/>
          <w:kern w:val="0"/>
          <w:szCs w:val="32"/>
          <w:highlight w:val="none"/>
        </w:rPr>
        <w:t>社区嵌入式服务设施建设工程是党中央、国务院部署的重大民生工程。为深入贯彻落实《国务院办公厅关于转发国家发展改革委〈城市社区嵌入式服务设施建设工程实施方案〉的通知》（国办函〔2023〕121号），</w:t>
      </w:r>
      <w:r>
        <w:rPr>
          <w:rFonts w:hint="default" w:ascii="Times New Roman" w:hAnsi="Times New Roman" w:eastAsia="仿宋_GB2312" w:cs="Times New Roman"/>
          <w:color w:val="auto"/>
          <w:spacing w:val="0"/>
          <w:kern w:val="0"/>
          <w:sz w:val="31"/>
          <w:szCs w:val="31"/>
          <w:highlight w:val="none"/>
        </w:rPr>
        <w:t>认真做好</w:t>
      </w:r>
      <w:r>
        <w:rPr>
          <w:rFonts w:hint="default" w:ascii="Times New Roman" w:hAnsi="Times New Roman" w:eastAsia="宋体" w:cs="Times New Roman"/>
          <w:color w:val="auto"/>
          <w:spacing w:val="0"/>
          <w:kern w:val="0"/>
          <w:sz w:val="31"/>
          <w:szCs w:val="31"/>
          <w:highlight w:val="none"/>
        </w:rPr>
        <w:t>2025</w:t>
      </w:r>
      <w:r>
        <w:rPr>
          <w:rFonts w:hint="default" w:ascii="Times New Roman" w:hAnsi="Times New Roman" w:eastAsia="仿宋_GB2312" w:cs="Times New Roman"/>
          <w:color w:val="auto"/>
          <w:spacing w:val="0"/>
          <w:kern w:val="0"/>
          <w:sz w:val="31"/>
          <w:szCs w:val="31"/>
          <w:highlight w:val="none"/>
        </w:rPr>
        <w:t>年市人大一号议案办理工作，</w:t>
      </w:r>
      <w:r>
        <w:rPr>
          <w:rFonts w:hint="default" w:ascii="Times New Roman" w:hAnsi="Times New Roman" w:eastAsia="仿宋_GB2312" w:cs="Times New Roman"/>
          <w:snapToGrid w:val="0"/>
          <w:color w:val="auto"/>
          <w:spacing w:val="0"/>
          <w:kern w:val="0"/>
          <w:szCs w:val="32"/>
          <w:highlight w:val="none"/>
        </w:rPr>
        <w:t>扎实推进我市社区嵌入式服务设施建设，推动优质普惠公共服务下基层、进社区，结合我市实际，制定本实施方案。</w:t>
      </w:r>
    </w:p>
    <w:p w14:paraId="2047BFDF">
      <w:pPr>
        <w:keepNext w:val="0"/>
        <w:keepLines w:val="0"/>
        <w:pageBreakBefore w:val="0"/>
        <w:widowControl/>
        <w:kinsoku/>
        <w:wordWrap/>
        <w:topLinePunct w:val="0"/>
        <w:autoSpaceDE/>
        <w:autoSpaceDN/>
        <w:bidi w:val="0"/>
        <w:snapToGrid w:val="0"/>
        <w:spacing w:line="600" w:lineRule="exact"/>
        <w:ind w:firstLine="640" w:firstLineChars="200"/>
        <w:textAlignment w:val="auto"/>
        <w:rPr>
          <w:rFonts w:hint="default" w:ascii="Times New Roman" w:hAnsi="Times New Roman" w:eastAsia="黑体" w:cs="Times New Roman"/>
          <w:snapToGrid w:val="0"/>
          <w:color w:val="auto"/>
          <w:spacing w:val="0"/>
          <w:kern w:val="0"/>
          <w:szCs w:val="32"/>
          <w:highlight w:val="none"/>
        </w:rPr>
      </w:pPr>
      <w:r>
        <w:rPr>
          <w:rFonts w:hint="default" w:ascii="Times New Roman" w:hAnsi="Times New Roman" w:eastAsia="黑体" w:cs="Times New Roman"/>
          <w:snapToGrid w:val="0"/>
          <w:color w:val="auto"/>
          <w:spacing w:val="0"/>
          <w:kern w:val="0"/>
          <w:szCs w:val="32"/>
          <w:highlight w:val="none"/>
        </w:rPr>
        <w:t>一、基本情况</w:t>
      </w:r>
    </w:p>
    <w:p w14:paraId="38B31A20">
      <w:pPr>
        <w:keepNext w:val="0"/>
        <w:keepLines w:val="0"/>
        <w:pageBreakBefore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napToGrid w:val="0"/>
          <w:color w:val="auto"/>
          <w:spacing w:val="0"/>
          <w:kern w:val="0"/>
          <w:szCs w:val="32"/>
          <w:highlight w:val="none"/>
          <w:lang w:val="en-US" w:eastAsia="zh-CN"/>
        </w:rPr>
      </w:pPr>
      <w:r>
        <w:rPr>
          <w:rFonts w:hint="default" w:ascii="Times New Roman" w:hAnsi="Times New Roman" w:eastAsia="仿宋_GB2312" w:cs="Times New Roman"/>
          <w:snapToGrid w:val="0"/>
          <w:color w:val="auto"/>
          <w:spacing w:val="0"/>
          <w:kern w:val="0"/>
          <w:szCs w:val="32"/>
          <w:highlight w:val="none"/>
        </w:rPr>
        <w:t>根据《城市社区嵌入式服务设施建设导则（试行）》和昆山实际，</w:t>
      </w:r>
      <w:r>
        <w:rPr>
          <w:rFonts w:hint="default" w:ascii="Times New Roman" w:hAnsi="Times New Roman" w:eastAsia="仿宋_GB2312" w:cs="Times New Roman"/>
          <w:snapToGrid w:val="0"/>
          <w:color w:val="auto"/>
          <w:spacing w:val="0"/>
          <w:kern w:val="0"/>
          <w:szCs w:val="32"/>
          <w:highlight w:val="none"/>
          <w:lang w:val="en-US" w:eastAsia="zh-CN"/>
        </w:rPr>
        <w:t>社区嵌入式服务共包括</w:t>
      </w:r>
      <w:r>
        <w:rPr>
          <w:rFonts w:hint="default" w:ascii="Times New Roman" w:hAnsi="Times New Roman" w:eastAsia="仿宋_GB2312" w:cs="Times New Roman"/>
          <w:snapToGrid w:val="0"/>
          <w:color w:val="auto"/>
          <w:spacing w:val="0"/>
          <w:kern w:val="0"/>
          <w:szCs w:val="32"/>
          <w:highlight w:val="none"/>
        </w:rPr>
        <w:t>9大类17项服务功能。</w:t>
      </w:r>
      <w:r>
        <w:rPr>
          <w:rFonts w:hint="default" w:ascii="Times New Roman" w:hAnsi="Times New Roman" w:eastAsia="楷体_GB2312" w:cs="Times New Roman"/>
          <w:b/>
          <w:bCs/>
          <w:snapToGrid w:val="0"/>
          <w:color w:val="auto"/>
          <w:spacing w:val="0"/>
          <w:kern w:val="0"/>
          <w:szCs w:val="32"/>
          <w:highlight w:val="none"/>
        </w:rPr>
        <w:t>从服务功能</w:t>
      </w:r>
      <w:r>
        <w:rPr>
          <w:rFonts w:hint="default" w:ascii="Times New Roman" w:hAnsi="Times New Roman" w:eastAsia="楷体_GB2312" w:cs="Times New Roman"/>
          <w:b/>
          <w:bCs/>
          <w:snapToGrid w:val="0"/>
          <w:color w:val="auto"/>
          <w:spacing w:val="0"/>
          <w:kern w:val="0"/>
          <w:szCs w:val="32"/>
          <w:highlight w:val="none"/>
          <w:lang w:val="en-US" w:eastAsia="zh-CN"/>
        </w:rPr>
        <w:t>配置</w:t>
      </w:r>
      <w:r>
        <w:rPr>
          <w:rFonts w:hint="default" w:ascii="Times New Roman" w:hAnsi="Times New Roman" w:eastAsia="楷体_GB2312" w:cs="Times New Roman"/>
          <w:b/>
          <w:bCs/>
          <w:snapToGrid w:val="0"/>
          <w:color w:val="auto"/>
          <w:spacing w:val="0"/>
          <w:kern w:val="0"/>
          <w:szCs w:val="32"/>
          <w:highlight w:val="none"/>
        </w:rPr>
        <w:t>看</w:t>
      </w:r>
      <w:r>
        <w:rPr>
          <w:rFonts w:hint="default" w:ascii="Times New Roman" w:hAnsi="Times New Roman" w:eastAsia="仿宋_GB2312" w:cs="Times New Roman"/>
          <w:b/>
          <w:bCs/>
          <w:snapToGrid w:val="0"/>
          <w:color w:val="auto"/>
          <w:spacing w:val="0"/>
          <w:kern w:val="0"/>
          <w:szCs w:val="32"/>
          <w:highlight w:val="none"/>
        </w:rPr>
        <w:t>，</w:t>
      </w:r>
      <w:r>
        <w:rPr>
          <w:rFonts w:hint="default" w:ascii="Times New Roman" w:hAnsi="Times New Roman" w:eastAsia="仿宋_GB2312" w:cs="Times New Roman"/>
          <w:snapToGrid w:val="0"/>
          <w:color w:val="auto"/>
          <w:spacing w:val="0"/>
          <w:kern w:val="0"/>
          <w:szCs w:val="32"/>
          <w:highlight w:val="none"/>
          <w:lang w:val="en-US" w:eastAsia="zh-CN"/>
        </w:rPr>
        <w:t>昆山共</w:t>
      </w:r>
      <w:r>
        <w:rPr>
          <w:rFonts w:hint="default" w:ascii="Times New Roman" w:hAnsi="Times New Roman" w:eastAsia="仿宋_GB2312" w:cs="Times New Roman"/>
          <w:snapToGrid w:val="0"/>
          <w:color w:val="auto"/>
          <w:spacing w:val="0"/>
          <w:kern w:val="0"/>
          <w:szCs w:val="32"/>
          <w:highlight w:val="none"/>
        </w:rPr>
        <w:t>248个社区</w:t>
      </w:r>
      <w:r>
        <w:rPr>
          <w:rFonts w:hint="default" w:ascii="Times New Roman" w:hAnsi="Times New Roman" w:eastAsia="仿宋_GB2312" w:cs="Times New Roman"/>
          <w:snapToGrid w:val="0"/>
          <w:color w:val="auto"/>
          <w:spacing w:val="0"/>
          <w:kern w:val="0"/>
          <w:szCs w:val="32"/>
          <w:highlight w:val="none"/>
          <w:lang w:eastAsia="zh-CN"/>
        </w:rPr>
        <w:t>，</w:t>
      </w:r>
      <w:r>
        <w:rPr>
          <w:rFonts w:hint="default" w:ascii="Times New Roman" w:hAnsi="Times New Roman" w:eastAsia="仿宋_GB2312" w:cs="Times New Roman"/>
          <w:snapToGrid w:val="0"/>
          <w:color w:val="auto"/>
          <w:spacing w:val="0"/>
          <w:kern w:val="0"/>
          <w:szCs w:val="32"/>
          <w:highlight w:val="none"/>
          <w:lang w:val="en-US" w:eastAsia="zh-CN"/>
        </w:rPr>
        <w:t>整体而言，社区</w:t>
      </w:r>
      <w:r>
        <w:rPr>
          <w:rFonts w:hint="default" w:ascii="Times New Roman" w:hAnsi="Times New Roman" w:eastAsia="仿宋_GB2312" w:cs="Times New Roman"/>
          <w:snapToGrid w:val="0"/>
          <w:color w:val="auto"/>
          <w:spacing w:val="0"/>
          <w:kern w:val="0"/>
          <w:szCs w:val="32"/>
          <w:highlight w:val="none"/>
        </w:rPr>
        <w:t>嵌入式服务设施配备情况较好</w:t>
      </w:r>
      <w:r>
        <w:rPr>
          <w:rFonts w:hint="default" w:ascii="Times New Roman" w:hAnsi="Times New Roman" w:eastAsia="仿宋_GB2312" w:cs="Times New Roman"/>
          <w:snapToGrid w:val="0"/>
          <w:color w:val="auto"/>
          <w:spacing w:val="0"/>
          <w:kern w:val="0"/>
          <w:szCs w:val="32"/>
          <w:highlight w:val="none"/>
          <w:lang w:eastAsia="zh-CN"/>
        </w:rPr>
        <w:t>。</w:t>
      </w:r>
      <w:r>
        <w:rPr>
          <w:rFonts w:hint="default" w:ascii="Times New Roman" w:hAnsi="Times New Roman" w:eastAsia="仿宋_GB2312" w:cs="Times New Roman"/>
          <w:snapToGrid w:val="0"/>
          <w:color w:val="auto"/>
          <w:spacing w:val="0"/>
          <w:kern w:val="0"/>
          <w:szCs w:val="32"/>
          <w:highlight w:val="none"/>
        </w:rPr>
        <w:t>具备3项及以上服务功能的社区</w:t>
      </w:r>
      <w:r>
        <w:rPr>
          <w:rFonts w:hint="default" w:ascii="Times New Roman" w:hAnsi="Times New Roman" w:eastAsia="仿宋_GB2312" w:cs="Times New Roman"/>
          <w:snapToGrid w:val="0"/>
          <w:color w:val="auto"/>
          <w:spacing w:val="0"/>
          <w:kern w:val="0"/>
          <w:szCs w:val="32"/>
          <w:highlight w:val="none"/>
          <w:lang w:val="en-US" w:eastAsia="zh-CN"/>
        </w:rPr>
        <w:t>共</w:t>
      </w:r>
      <w:r>
        <w:rPr>
          <w:rFonts w:hint="default" w:ascii="Times New Roman" w:hAnsi="Times New Roman" w:eastAsia="仿宋_GB2312" w:cs="Times New Roman"/>
          <w:snapToGrid w:val="0"/>
          <w:color w:val="auto"/>
          <w:spacing w:val="0"/>
          <w:kern w:val="0"/>
          <w:szCs w:val="32"/>
          <w:highlight w:val="none"/>
        </w:rPr>
        <w:t>230个，占比92.7%；具备4项及以上的206个，占比83.1%；具备5项及以上的188个，占比75.8%；具备6项及以上的120个，占比48.4%。</w:t>
      </w:r>
      <w:r>
        <w:rPr>
          <w:rFonts w:hint="default" w:ascii="Times New Roman" w:hAnsi="Times New Roman" w:eastAsia="楷体_GB2312" w:cs="Times New Roman"/>
          <w:b/>
          <w:bCs/>
          <w:snapToGrid w:val="0"/>
          <w:color w:val="auto"/>
          <w:spacing w:val="0"/>
          <w:kern w:val="0"/>
          <w:szCs w:val="32"/>
          <w:highlight w:val="none"/>
        </w:rPr>
        <w:t>从功能覆盖情况看</w:t>
      </w:r>
      <w:r>
        <w:rPr>
          <w:rFonts w:hint="default" w:ascii="Times New Roman" w:hAnsi="Times New Roman" w:eastAsia="仿宋_GB2312" w:cs="Times New Roman"/>
          <w:b/>
          <w:bCs/>
          <w:snapToGrid w:val="0"/>
          <w:color w:val="auto"/>
          <w:spacing w:val="0"/>
          <w:kern w:val="0"/>
          <w:szCs w:val="32"/>
          <w:highlight w:val="none"/>
        </w:rPr>
        <w:t>，</w:t>
      </w:r>
      <w:r>
        <w:rPr>
          <w:rFonts w:hint="default" w:ascii="Times New Roman" w:hAnsi="Times New Roman" w:eastAsia="仿宋_GB2312" w:cs="Times New Roman"/>
          <w:snapToGrid w:val="0"/>
          <w:color w:val="auto"/>
          <w:spacing w:val="0"/>
          <w:kern w:val="0"/>
          <w:szCs w:val="32"/>
          <w:highlight w:val="none"/>
        </w:rPr>
        <w:t>配置短板与国家方案中“‘一老一小’服务、社区食堂（助餐服务）等应纳入建设‘标配’”的要求一致。便民服务、室外体育健身、文化休闲、儿童游憩等</w:t>
      </w:r>
      <w:r>
        <w:rPr>
          <w:rFonts w:hint="default" w:ascii="Times New Roman" w:hAnsi="Times New Roman" w:eastAsia="仿宋_GB2312" w:cs="Times New Roman"/>
          <w:snapToGrid w:val="0"/>
          <w:color w:val="auto"/>
          <w:spacing w:val="0"/>
          <w:kern w:val="0"/>
          <w:szCs w:val="32"/>
          <w:highlight w:val="none"/>
          <w:lang w:val="en-US" w:eastAsia="zh-CN"/>
        </w:rPr>
        <w:t>服务</w:t>
      </w:r>
      <w:r>
        <w:rPr>
          <w:rFonts w:hint="default" w:ascii="Times New Roman" w:hAnsi="Times New Roman" w:eastAsia="仿宋_GB2312" w:cs="Times New Roman"/>
          <w:snapToGrid w:val="0"/>
          <w:color w:val="auto"/>
          <w:spacing w:val="0"/>
          <w:kern w:val="0"/>
          <w:szCs w:val="32"/>
          <w:highlight w:val="none"/>
        </w:rPr>
        <w:t>覆盖</w:t>
      </w:r>
      <w:r>
        <w:rPr>
          <w:rFonts w:hint="default" w:ascii="Times New Roman" w:hAnsi="Times New Roman" w:eastAsia="仿宋_GB2312" w:cs="Times New Roman"/>
          <w:snapToGrid w:val="0"/>
          <w:color w:val="auto"/>
          <w:spacing w:val="0"/>
          <w:kern w:val="0"/>
          <w:szCs w:val="32"/>
          <w:highlight w:val="none"/>
          <w:lang w:val="en-US" w:eastAsia="zh-CN"/>
        </w:rPr>
        <w:t>率</w:t>
      </w:r>
      <w:r>
        <w:rPr>
          <w:rFonts w:hint="default" w:ascii="Times New Roman" w:hAnsi="Times New Roman" w:eastAsia="仿宋_GB2312" w:cs="Times New Roman"/>
          <w:snapToGrid w:val="0"/>
          <w:color w:val="auto"/>
          <w:spacing w:val="0"/>
          <w:kern w:val="0"/>
          <w:szCs w:val="32"/>
          <w:highlight w:val="none"/>
        </w:rPr>
        <w:t>较高，占比均超过75%；健康诊疗、助残服务、室内体育健身次之，占比60%左右；养老服务、儿童托育托管、社区助餐、家政服务等相对较薄弱，占比小于50%，需进一步补齐短板。</w:t>
      </w:r>
      <w:r>
        <w:rPr>
          <w:rFonts w:hint="default" w:ascii="Times New Roman" w:hAnsi="Times New Roman" w:eastAsia="楷体_GB2312" w:cs="Times New Roman"/>
          <w:b/>
          <w:bCs/>
          <w:snapToGrid w:val="0"/>
          <w:color w:val="auto"/>
          <w:spacing w:val="0"/>
          <w:kern w:val="0"/>
          <w:szCs w:val="32"/>
          <w:highlight w:val="none"/>
        </w:rPr>
        <w:t>从</w:t>
      </w:r>
      <w:r>
        <w:rPr>
          <w:rFonts w:hint="default" w:ascii="Times New Roman" w:hAnsi="Times New Roman" w:eastAsia="楷体_GB2312" w:cs="Times New Roman"/>
          <w:b/>
          <w:bCs/>
          <w:snapToGrid w:val="0"/>
          <w:color w:val="auto"/>
          <w:spacing w:val="0"/>
          <w:kern w:val="0"/>
          <w:szCs w:val="32"/>
          <w:highlight w:val="none"/>
          <w:lang w:val="en-US" w:eastAsia="zh-CN"/>
        </w:rPr>
        <w:t>运营服务主体</w:t>
      </w:r>
      <w:r>
        <w:rPr>
          <w:rFonts w:hint="default" w:ascii="Times New Roman" w:hAnsi="Times New Roman" w:eastAsia="楷体_GB2312" w:cs="Times New Roman"/>
          <w:b/>
          <w:bCs/>
          <w:snapToGrid w:val="0"/>
          <w:color w:val="auto"/>
          <w:spacing w:val="0"/>
          <w:kern w:val="0"/>
          <w:szCs w:val="32"/>
          <w:highlight w:val="none"/>
        </w:rPr>
        <w:t>看</w:t>
      </w:r>
      <w:r>
        <w:rPr>
          <w:rFonts w:hint="default" w:ascii="Times New Roman" w:hAnsi="Times New Roman" w:eastAsia="楷体_GB2312" w:cs="Times New Roman"/>
          <w:b/>
          <w:bCs/>
          <w:snapToGrid w:val="0"/>
          <w:color w:val="auto"/>
          <w:spacing w:val="0"/>
          <w:kern w:val="0"/>
          <w:szCs w:val="32"/>
          <w:highlight w:val="none"/>
          <w:lang w:eastAsia="zh-CN"/>
        </w:rPr>
        <w:t>，</w:t>
      </w:r>
      <w:r>
        <w:rPr>
          <w:rFonts w:hint="default" w:ascii="Times New Roman" w:hAnsi="Times New Roman" w:eastAsia="仿宋_GB2312" w:cs="Times New Roman"/>
          <w:snapToGrid w:val="0"/>
          <w:color w:val="auto"/>
          <w:spacing w:val="0"/>
          <w:kern w:val="0"/>
          <w:szCs w:val="32"/>
          <w:highlight w:val="none"/>
          <w:lang w:val="en-US" w:eastAsia="zh-CN"/>
        </w:rPr>
        <w:t>昆山</w:t>
      </w:r>
      <w:r>
        <w:rPr>
          <w:rFonts w:hint="default" w:ascii="Times New Roman" w:hAnsi="Times New Roman" w:eastAsia="仿宋_GB2312" w:cs="Times New Roman"/>
          <w:snapToGrid w:val="0"/>
          <w:color w:val="auto"/>
          <w:spacing w:val="0"/>
          <w:kern w:val="0"/>
          <w:szCs w:val="32"/>
          <w:highlight w:val="none"/>
        </w:rPr>
        <w:t>社区嵌入式服务设施的运营管理主要依赖社区居委会或物业公司自主开展，</w:t>
      </w:r>
      <w:r>
        <w:rPr>
          <w:rFonts w:hint="default" w:ascii="Times New Roman" w:hAnsi="Times New Roman" w:eastAsia="仿宋_GB2312" w:cs="Times New Roman"/>
          <w:snapToGrid w:val="0"/>
          <w:color w:val="auto"/>
          <w:spacing w:val="0"/>
          <w:kern w:val="0"/>
          <w:szCs w:val="32"/>
          <w:highlight w:val="none"/>
          <w:lang w:val="en-US" w:eastAsia="zh-CN"/>
        </w:rPr>
        <w:t>仅部分日间照料中心、儿童游憩等引入</w:t>
      </w:r>
      <w:r>
        <w:rPr>
          <w:rFonts w:hint="default" w:ascii="Times New Roman" w:hAnsi="Times New Roman" w:eastAsia="仿宋_GB2312" w:cs="Times New Roman"/>
          <w:snapToGrid w:val="0"/>
          <w:color w:val="auto"/>
          <w:spacing w:val="0"/>
          <w:kern w:val="0"/>
          <w:szCs w:val="32"/>
          <w:highlight w:val="none"/>
        </w:rPr>
        <w:t>第三方组织</w:t>
      </w:r>
      <w:r>
        <w:rPr>
          <w:rFonts w:hint="default" w:ascii="Times New Roman" w:hAnsi="Times New Roman" w:eastAsia="仿宋_GB2312" w:cs="Times New Roman"/>
          <w:snapToGrid w:val="0"/>
          <w:color w:val="auto"/>
          <w:spacing w:val="0"/>
          <w:kern w:val="0"/>
          <w:szCs w:val="32"/>
          <w:highlight w:val="none"/>
          <w:lang w:eastAsia="zh-CN"/>
        </w:rPr>
        <w:t>，</w:t>
      </w:r>
      <w:r>
        <w:rPr>
          <w:rFonts w:hint="default" w:ascii="Times New Roman" w:hAnsi="Times New Roman" w:eastAsia="仿宋_GB2312" w:cs="Times New Roman"/>
          <w:snapToGrid w:val="0"/>
          <w:color w:val="auto"/>
          <w:spacing w:val="0"/>
          <w:kern w:val="0"/>
          <w:szCs w:val="32"/>
          <w:highlight w:val="none"/>
        </w:rPr>
        <w:t>面临专业化程度不足的问题</w:t>
      </w:r>
      <w:r>
        <w:rPr>
          <w:rFonts w:hint="default" w:ascii="Times New Roman" w:hAnsi="Times New Roman" w:eastAsia="仿宋_GB2312" w:cs="Times New Roman"/>
          <w:snapToGrid w:val="0"/>
          <w:color w:val="auto"/>
          <w:spacing w:val="0"/>
          <w:kern w:val="0"/>
          <w:szCs w:val="32"/>
          <w:highlight w:val="none"/>
          <w:lang w:eastAsia="zh-CN"/>
        </w:rPr>
        <w:t>，</w:t>
      </w:r>
      <w:r>
        <w:rPr>
          <w:rFonts w:hint="default" w:ascii="Times New Roman" w:hAnsi="Times New Roman" w:eastAsia="仿宋_GB2312" w:cs="Times New Roman"/>
          <w:snapToGrid w:val="0"/>
          <w:color w:val="auto"/>
          <w:spacing w:val="0"/>
          <w:kern w:val="0"/>
          <w:szCs w:val="32"/>
          <w:highlight w:val="none"/>
          <w:lang w:val="en-US" w:eastAsia="zh-CN"/>
        </w:rPr>
        <w:t>也</w:t>
      </w:r>
      <w:r>
        <w:rPr>
          <w:rFonts w:hint="default" w:ascii="Times New Roman" w:hAnsi="Times New Roman" w:eastAsia="仿宋_GB2312" w:cs="Times New Roman"/>
          <w:snapToGrid w:val="0"/>
          <w:color w:val="auto"/>
          <w:spacing w:val="0"/>
          <w:kern w:val="0"/>
          <w:szCs w:val="32"/>
          <w:highlight w:val="none"/>
        </w:rPr>
        <w:t>成为制约社区嵌入式服务提质升级的瓶颈，需通过引入专业机构、创新合作模式来突破现状。</w:t>
      </w:r>
    </w:p>
    <w:p w14:paraId="6B62D1AC">
      <w:pPr>
        <w:keepNext w:val="0"/>
        <w:keepLines w:val="0"/>
        <w:pageBreakBefore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snapToGrid w:val="0"/>
          <w:color w:val="auto"/>
          <w:spacing w:val="0"/>
          <w:kern w:val="0"/>
          <w:szCs w:val="32"/>
          <w:highlight w:val="none"/>
        </w:rPr>
      </w:pPr>
      <w:r>
        <w:rPr>
          <w:rFonts w:hint="default" w:ascii="Times New Roman" w:hAnsi="Times New Roman" w:eastAsia="黑体" w:cs="Times New Roman"/>
          <w:snapToGrid w:val="0"/>
          <w:color w:val="auto"/>
          <w:spacing w:val="0"/>
          <w:kern w:val="0"/>
          <w:szCs w:val="32"/>
          <w:highlight w:val="none"/>
        </w:rPr>
        <w:t>二、总体要求</w:t>
      </w:r>
    </w:p>
    <w:p w14:paraId="34BDFDC7">
      <w:pPr>
        <w:keepNext w:val="0"/>
        <w:keepLines w:val="0"/>
        <w:pageBreakBefore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napToGrid w:val="0"/>
          <w:color w:val="auto"/>
          <w:spacing w:val="0"/>
          <w:kern w:val="0"/>
          <w:szCs w:val="32"/>
          <w:highlight w:val="none"/>
        </w:rPr>
      </w:pPr>
      <w:r>
        <w:rPr>
          <w:rFonts w:hint="default" w:ascii="Times New Roman" w:hAnsi="Times New Roman" w:eastAsia="仿宋_GB2312" w:cs="Times New Roman"/>
          <w:snapToGrid w:val="0"/>
          <w:color w:val="auto"/>
          <w:spacing w:val="0"/>
          <w:kern w:val="0"/>
          <w:szCs w:val="32"/>
          <w:highlight w:val="none"/>
        </w:rPr>
        <w:t>以习近平新时代中国特色社会主义思想为指导，坚持以人民为中心的发展思想，聚焦创造高品质生活，推动城市公共服务设施有机嵌入社区、公共服务项目延伸覆盖社区，让更多群众享受到身边和家门口的优质普惠公共服务，有效提升城市和社区更好承载人民美好生活功能，不断增强人民群众获得感、幸福感和安全感，努力把社区建设成为人民群众的幸福家园。</w:t>
      </w:r>
    </w:p>
    <w:p w14:paraId="579EA78E">
      <w:pPr>
        <w:keepNext w:val="0"/>
        <w:keepLines w:val="0"/>
        <w:pageBreakBefore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napToGrid w:val="0"/>
          <w:color w:val="auto"/>
          <w:spacing w:val="0"/>
          <w:kern w:val="0"/>
          <w:szCs w:val="32"/>
          <w:highlight w:val="none"/>
        </w:rPr>
      </w:pPr>
      <w:r>
        <w:rPr>
          <w:rFonts w:hint="default" w:ascii="Times New Roman" w:hAnsi="Times New Roman" w:eastAsia="仿宋_GB2312" w:cs="Times New Roman"/>
          <w:snapToGrid w:val="0"/>
          <w:color w:val="auto"/>
          <w:spacing w:val="0"/>
          <w:kern w:val="0"/>
          <w:szCs w:val="32"/>
          <w:highlight w:val="none"/>
        </w:rPr>
        <w:t>——</w:t>
      </w:r>
      <w:r>
        <w:rPr>
          <w:rFonts w:hint="default" w:ascii="Times New Roman" w:hAnsi="Times New Roman" w:eastAsia="楷体_GB2312" w:cs="Times New Roman"/>
          <w:b/>
          <w:bCs/>
          <w:snapToGrid w:val="0"/>
          <w:color w:val="auto"/>
          <w:spacing w:val="0"/>
          <w:kern w:val="0"/>
          <w:szCs w:val="32"/>
          <w:highlight w:val="none"/>
        </w:rPr>
        <w:t>聚焦重点，功能优先</w:t>
      </w:r>
      <w:r>
        <w:rPr>
          <w:rFonts w:hint="default" w:ascii="Times New Roman" w:hAnsi="Times New Roman" w:eastAsia="仿宋_GB2312" w:cs="Times New Roman"/>
          <w:snapToGrid w:val="0"/>
          <w:color w:val="auto"/>
          <w:spacing w:val="0"/>
          <w:kern w:val="0"/>
          <w:szCs w:val="32"/>
          <w:highlight w:val="none"/>
        </w:rPr>
        <w:t>。社区嵌入式服务设施面向社区居民提供养老服务、婴幼儿托育、儿童托管、社区助餐、家政便民、健康服务、体育健身、文化休闲和儿童游憩等9项功能，聚焦“一老一小”服务需求，优先和重点提供养老托育等急需紧缺服务，逐步补齐和拓展其他服务。</w:t>
      </w:r>
    </w:p>
    <w:p w14:paraId="0C2AB0C6">
      <w:pPr>
        <w:keepNext w:val="0"/>
        <w:keepLines w:val="0"/>
        <w:pageBreakBefore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napToGrid w:val="0"/>
          <w:color w:val="auto"/>
          <w:spacing w:val="0"/>
          <w:kern w:val="0"/>
          <w:szCs w:val="32"/>
          <w:highlight w:val="none"/>
        </w:rPr>
      </w:pPr>
      <w:r>
        <w:rPr>
          <w:rFonts w:hint="default" w:ascii="Times New Roman" w:hAnsi="Times New Roman" w:eastAsia="仿宋_GB2312" w:cs="Times New Roman"/>
          <w:snapToGrid w:val="0"/>
          <w:color w:val="auto"/>
          <w:spacing w:val="0"/>
          <w:kern w:val="0"/>
          <w:szCs w:val="32"/>
          <w:highlight w:val="none"/>
        </w:rPr>
        <w:t>——</w:t>
      </w:r>
      <w:r>
        <w:rPr>
          <w:rFonts w:hint="default" w:ascii="Times New Roman" w:hAnsi="Times New Roman" w:eastAsia="楷体_GB2312" w:cs="Times New Roman"/>
          <w:b/>
          <w:bCs/>
          <w:snapToGrid w:val="0"/>
          <w:color w:val="auto"/>
          <w:spacing w:val="0"/>
          <w:kern w:val="0"/>
          <w:szCs w:val="32"/>
          <w:highlight w:val="none"/>
        </w:rPr>
        <w:t>系统谋划，试点引领</w:t>
      </w:r>
      <w:r>
        <w:rPr>
          <w:rFonts w:hint="default" w:ascii="Times New Roman" w:hAnsi="Times New Roman" w:eastAsia="仿宋_GB2312" w:cs="Times New Roman"/>
          <w:snapToGrid w:val="0"/>
          <w:color w:val="auto"/>
          <w:spacing w:val="0"/>
          <w:kern w:val="0"/>
          <w:szCs w:val="32"/>
          <w:highlight w:val="none"/>
        </w:rPr>
        <w:t>。立足区域、社区发展实际，在充分调研现状、摸清服务需求、广泛征求居民意见的基础上，以社区为单元推进，优先盘活利用存量资源。积极开展试点项目建设，打造一批功能相对齐全的社区嵌入式服务综合设施，实现居民在“家门口”“楼底下”享受就近就便服务。</w:t>
      </w:r>
    </w:p>
    <w:p w14:paraId="5E551C4E">
      <w:pPr>
        <w:keepNext w:val="0"/>
        <w:keepLines w:val="0"/>
        <w:pageBreakBefore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napToGrid w:val="0"/>
          <w:color w:val="auto"/>
          <w:spacing w:val="0"/>
          <w:kern w:val="0"/>
          <w:szCs w:val="32"/>
          <w:highlight w:val="none"/>
        </w:rPr>
      </w:pPr>
      <w:r>
        <w:rPr>
          <w:rFonts w:hint="default" w:ascii="Times New Roman" w:hAnsi="Times New Roman" w:eastAsia="仿宋_GB2312" w:cs="Times New Roman"/>
          <w:snapToGrid w:val="0"/>
          <w:color w:val="auto"/>
          <w:spacing w:val="0"/>
          <w:kern w:val="0"/>
          <w:szCs w:val="32"/>
          <w:highlight w:val="none"/>
        </w:rPr>
        <w:t>——</w:t>
      </w:r>
      <w:r>
        <w:rPr>
          <w:rFonts w:hint="default" w:ascii="Times New Roman" w:hAnsi="Times New Roman" w:eastAsia="楷体_GB2312" w:cs="Times New Roman"/>
          <w:b/>
          <w:bCs/>
          <w:snapToGrid w:val="0"/>
          <w:color w:val="auto"/>
          <w:spacing w:val="0"/>
          <w:kern w:val="0"/>
          <w:szCs w:val="32"/>
          <w:highlight w:val="none"/>
        </w:rPr>
        <w:t>因地制宜、统筹推进</w:t>
      </w:r>
      <w:r>
        <w:rPr>
          <w:rFonts w:hint="default" w:ascii="Times New Roman" w:hAnsi="Times New Roman" w:eastAsia="仿宋_GB2312" w:cs="Times New Roman"/>
          <w:snapToGrid w:val="0"/>
          <w:color w:val="auto"/>
          <w:spacing w:val="0"/>
          <w:kern w:val="0"/>
          <w:szCs w:val="32"/>
          <w:highlight w:val="none"/>
        </w:rPr>
        <w:t>。坚持整体谋划、统筹推进，科学规划设施布局，有序提高配建标准，切实加强要素保障。根据实际情况，坚持试点先行、新建和改建相结合，鼓励优先利用存量资源。采取综合体和“插花”式相结合的方式，积极开展社区嵌入式服务设施建设。</w:t>
      </w:r>
    </w:p>
    <w:p w14:paraId="6D08BE40">
      <w:pPr>
        <w:keepNext w:val="0"/>
        <w:keepLines w:val="0"/>
        <w:pageBreakBefore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napToGrid w:val="0"/>
          <w:color w:val="auto"/>
          <w:spacing w:val="0"/>
          <w:kern w:val="0"/>
          <w:szCs w:val="32"/>
          <w:highlight w:val="none"/>
        </w:rPr>
      </w:pPr>
      <w:r>
        <w:rPr>
          <w:rFonts w:hint="default" w:ascii="Times New Roman" w:hAnsi="Times New Roman" w:eastAsia="仿宋_GB2312" w:cs="Times New Roman"/>
          <w:snapToGrid w:val="0"/>
          <w:color w:val="auto"/>
          <w:spacing w:val="0"/>
          <w:kern w:val="0"/>
          <w:szCs w:val="32"/>
          <w:highlight w:val="none"/>
        </w:rPr>
        <w:t>——</w:t>
      </w:r>
      <w:r>
        <w:rPr>
          <w:rFonts w:hint="default" w:ascii="Times New Roman" w:hAnsi="Times New Roman" w:eastAsia="楷体_GB2312" w:cs="Times New Roman"/>
          <w:b/>
          <w:bCs/>
          <w:snapToGrid w:val="0"/>
          <w:color w:val="auto"/>
          <w:spacing w:val="0"/>
          <w:kern w:val="0"/>
          <w:szCs w:val="32"/>
          <w:highlight w:val="none"/>
        </w:rPr>
        <w:t>优质普惠、长效运营</w:t>
      </w:r>
      <w:r>
        <w:rPr>
          <w:rFonts w:hint="default" w:ascii="Times New Roman" w:hAnsi="Times New Roman" w:eastAsia="仿宋_GB2312" w:cs="Times New Roman"/>
          <w:snapToGrid w:val="0"/>
          <w:color w:val="auto"/>
          <w:spacing w:val="0"/>
          <w:kern w:val="0"/>
          <w:szCs w:val="32"/>
          <w:highlight w:val="none"/>
        </w:rPr>
        <w:t>。构建财政资金和社会资源有机结合的长效运营机制，为周边居民提供便捷可及、价格普惠、服务优质的公共服务。积极探索多样化运营模式，调动企事业单位、社会组织、社会工作者、社区志愿者、社会慈善资源等多方力量。</w:t>
      </w:r>
    </w:p>
    <w:p w14:paraId="7F7DFC0E">
      <w:pPr>
        <w:pStyle w:val="13"/>
        <w:keepNext w:val="0"/>
        <w:keepLines w:val="0"/>
        <w:pageBreakBefore w:val="0"/>
        <w:kinsoku/>
        <w:wordWrap/>
        <w:overflowPunct w:val="0"/>
        <w:topLinePunct w:val="0"/>
        <w:autoSpaceDE/>
        <w:autoSpaceDN/>
        <w:bidi w:val="0"/>
        <w:adjustRightInd w:val="0"/>
        <w:snapToGrid w:val="0"/>
        <w:spacing w:line="600" w:lineRule="exact"/>
        <w:ind w:left="640" w:firstLine="0" w:firstLineChars="0"/>
        <w:textAlignment w:val="auto"/>
        <w:rPr>
          <w:rFonts w:hint="default" w:ascii="Times New Roman" w:hAnsi="Times New Roman" w:cs="Times New Roman"/>
          <w:snapToGrid w:val="0"/>
          <w:color w:val="auto"/>
          <w:spacing w:val="0"/>
          <w:sz w:val="32"/>
          <w:szCs w:val="32"/>
          <w:highlight w:val="none"/>
        </w:rPr>
      </w:pPr>
      <w:r>
        <w:rPr>
          <w:rFonts w:hint="default" w:ascii="Times New Roman" w:hAnsi="Times New Roman" w:eastAsia="黑体" w:cs="Times New Roman"/>
          <w:snapToGrid w:val="0"/>
          <w:color w:val="auto"/>
          <w:spacing w:val="0"/>
          <w:kern w:val="0"/>
          <w:sz w:val="32"/>
          <w:szCs w:val="32"/>
          <w:highlight w:val="none"/>
        </w:rPr>
        <w:t>三、建设目标</w:t>
      </w:r>
    </w:p>
    <w:p w14:paraId="3585CD4A">
      <w:pPr>
        <w:pStyle w:val="14"/>
        <w:keepNext w:val="0"/>
        <w:keepLines w:val="0"/>
        <w:pageBreakBefore w:val="0"/>
        <w:kinsoku/>
        <w:wordWrap/>
        <w:overflowPunct w:val="0"/>
        <w:topLinePunct w:val="0"/>
        <w:autoSpaceDE/>
        <w:autoSpaceDN/>
        <w:bidi w:val="0"/>
        <w:snapToGrid w:val="0"/>
        <w:spacing w:line="600" w:lineRule="exact"/>
        <w:ind w:firstLine="640" w:firstLineChars="200"/>
        <w:jc w:val="both"/>
        <w:textAlignment w:val="auto"/>
        <w:rPr>
          <w:rFonts w:hint="default" w:ascii="Times New Roman" w:hAnsi="Times New Roman" w:eastAsia="楷体_GB2312" w:cs="Times New Roman"/>
          <w:b/>
          <w:bCs/>
          <w:snapToGrid w:val="0"/>
          <w:color w:val="auto"/>
          <w:spacing w:val="0"/>
          <w:sz w:val="32"/>
          <w:szCs w:val="32"/>
          <w:highlight w:val="none"/>
        </w:rPr>
      </w:pPr>
      <w:r>
        <w:rPr>
          <w:rFonts w:hint="default" w:ascii="Times New Roman" w:hAnsi="Times New Roman" w:cs="Times New Roman"/>
          <w:snapToGrid w:val="0"/>
          <w:color w:val="auto"/>
          <w:spacing w:val="0"/>
          <w:sz w:val="32"/>
          <w:szCs w:val="32"/>
          <w:highlight w:val="none"/>
        </w:rPr>
        <w:t>按照“试点先行、逐步推开”的思路，推动一批社区嵌入式服务设施试点项目建设，加快推动形成成熟的项目建设、要素保障、运营模式。在总结试点经验和建设模式基础上，逐步扩大试点覆盖面，推动全市域开展社区嵌入式服务设施建设。</w:t>
      </w:r>
    </w:p>
    <w:p w14:paraId="71B1D12D">
      <w:pPr>
        <w:pStyle w:val="14"/>
        <w:keepNext w:val="0"/>
        <w:keepLines w:val="0"/>
        <w:pageBreakBefore w:val="0"/>
        <w:widowControl w:val="0"/>
        <w:numPr>
          <w:ilvl w:val="0"/>
          <w:numId w:val="1"/>
        </w:numPr>
        <w:kinsoku/>
        <w:wordWrap/>
        <w:overflowPunct w:val="0"/>
        <w:topLinePunct w:val="0"/>
        <w:autoSpaceDE/>
        <w:autoSpaceDN/>
        <w:bidi w:val="0"/>
        <w:snapToGrid w:val="0"/>
        <w:spacing w:line="600" w:lineRule="exact"/>
        <w:ind w:firstLine="643" w:firstLineChars="200"/>
        <w:jc w:val="both"/>
        <w:textAlignment w:val="auto"/>
        <w:rPr>
          <w:rFonts w:hint="default" w:ascii="Times New Roman" w:hAnsi="Times New Roman" w:cs="Times New Roman"/>
          <w:snapToGrid w:val="0"/>
          <w:color w:val="auto"/>
          <w:spacing w:val="0"/>
          <w:sz w:val="32"/>
          <w:szCs w:val="32"/>
          <w:highlight w:val="none"/>
        </w:rPr>
      </w:pPr>
      <w:r>
        <w:rPr>
          <w:rFonts w:hint="default" w:ascii="Times New Roman" w:hAnsi="Times New Roman" w:eastAsia="楷体_GB2312" w:cs="Times New Roman"/>
          <w:b/>
          <w:bCs/>
          <w:snapToGrid w:val="0"/>
          <w:color w:val="auto"/>
          <w:spacing w:val="0"/>
          <w:kern w:val="0"/>
          <w:sz w:val="32"/>
          <w:szCs w:val="32"/>
          <w:highlight w:val="none"/>
          <w:shd w:val="clear" w:color="auto" w:fill="auto"/>
          <w:lang w:val="en-US" w:eastAsia="zh-CN" w:bidi="ar-SA"/>
        </w:rPr>
        <w:t>服务功能逐渐完善</w:t>
      </w:r>
      <w:r>
        <w:rPr>
          <w:rFonts w:hint="default" w:ascii="Times New Roman" w:hAnsi="Times New Roman" w:cs="Times New Roman"/>
          <w:b/>
          <w:bCs/>
          <w:snapToGrid w:val="0"/>
          <w:color w:val="auto"/>
          <w:spacing w:val="0"/>
          <w:sz w:val="32"/>
          <w:szCs w:val="32"/>
          <w:highlight w:val="none"/>
        </w:rPr>
        <w:t>。</w:t>
      </w:r>
      <w:r>
        <w:rPr>
          <w:rFonts w:hint="default" w:ascii="Times New Roman" w:hAnsi="Times New Roman" w:cs="Times New Roman"/>
          <w:snapToGrid w:val="0"/>
          <w:color w:val="auto"/>
          <w:spacing w:val="0"/>
          <w:sz w:val="32"/>
          <w:szCs w:val="32"/>
          <w:highlight w:val="none"/>
        </w:rPr>
        <w:t>到2027年，全市社区嵌入式服务设施中拥有3项功能及以上的社区实现全覆盖，拥有4项功能及以上的社区占比达到90%以上，拥有5项功能及以上的社区占比达到80%以上，拥有6项功能及以上的社区占比达到60%以上，实现居民就近就便享有优质普惠公共服务，让居民生活更美好，幸福感更强。</w:t>
      </w:r>
    </w:p>
    <w:p w14:paraId="74B66E82">
      <w:pPr>
        <w:pStyle w:val="5"/>
        <w:keepNext w:val="0"/>
        <w:keepLines w:val="0"/>
        <w:pageBreakBefore w:val="0"/>
        <w:widowControl w:val="0"/>
        <w:numPr>
          <w:ilvl w:val="0"/>
          <w:numId w:val="1"/>
        </w:numPr>
        <w:suppressLineNumbers w:val="0"/>
        <w:kinsoku/>
        <w:wordWrap/>
        <w:overflowPunct/>
        <w:topLinePunct w:val="0"/>
        <w:autoSpaceDE/>
        <w:autoSpaceDN/>
        <w:bidi w:val="0"/>
        <w:adjustRightInd/>
        <w:snapToGrid w:val="0"/>
        <w:spacing w:beforeAutospacing="0" w:afterAutospacing="0" w:line="600" w:lineRule="exact"/>
        <w:ind w:left="0" w:leftChars="0" w:firstLine="643" w:firstLineChars="200"/>
        <w:textAlignment w:val="auto"/>
        <w:rPr>
          <w:rFonts w:hint="default" w:ascii="Times New Roman" w:hAnsi="Times New Roman" w:eastAsia="仿宋_GB2312" w:cs="Times New Roman"/>
          <w:snapToGrid w:val="0"/>
          <w:color w:val="auto"/>
          <w:spacing w:val="0"/>
          <w:kern w:val="0"/>
          <w:sz w:val="32"/>
          <w:szCs w:val="32"/>
          <w:highlight w:val="none"/>
          <w:lang w:val="en-US" w:eastAsia="zh-CN" w:bidi="ar-SA"/>
        </w:rPr>
      </w:pPr>
      <w:r>
        <w:rPr>
          <w:rFonts w:hint="default" w:ascii="Times New Roman" w:hAnsi="Times New Roman" w:eastAsia="楷体_GB2312" w:cs="Times New Roman"/>
          <w:b/>
          <w:bCs/>
          <w:snapToGrid w:val="0"/>
          <w:color w:val="auto"/>
          <w:spacing w:val="0"/>
          <w:kern w:val="0"/>
          <w:sz w:val="32"/>
          <w:szCs w:val="32"/>
          <w:highlight w:val="none"/>
          <w:shd w:val="clear" w:color="auto" w:fill="auto"/>
          <w:lang w:val="en-US" w:eastAsia="zh-CN" w:bidi="ar-SA"/>
        </w:rPr>
        <w:t>服务质效不断提升</w:t>
      </w:r>
      <w:r>
        <w:rPr>
          <w:rFonts w:hint="default" w:ascii="Times New Roman" w:hAnsi="Times New Roman" w:cs="Times New Roman"/>
          <w:b/>
          <w:bCs/>
          <w:snapToGrid w:val="0"/>
          <w:color w:val="auto"/>
          <w:spacing w:val="0"/>
          <w:sz w:val="32"/>
          <w:szCs w:val="32"/>
          <w:highlight w:val="none"/>
          <w:shd w:val="clear" w:color="auto" w:fill="auto"/>
        </w:rPr>
        <w:t>。</w:t>
      </w:r>
      <w:r>
        <w:rPr>
          <w:rFonts w:hint="default" w:ascii="Times New Roman" w:hAnsi="Times New Roman" w:eastAsia="仿宋_GB2312" w:cs="Times New Roman"/>
          <w:snapToGrid w:val="0"/>
          <w:color w:val="auto"/>
          <w:spacing w:val="0"/>
          <w:kern w:val="0"/>
          <w:sz w:val="32"/>
          <w:szCs w:val="32"/>
          <w:highlight w:val="none"/>
          <w:lang w:val="en-US" w:eastAsia="zh-CN" w:bidi="ar-SA"/>
        </w:rPr>
        <w:t>通过标准化、专业化、智能化协同发力，推动社区服务从“有”到“优”的高质量转型。对托育托管、社区助餐等相对较薄弱的领域开展标准化建设，确保基础服务优质可靠。对家政服务、健康诊疗、助残服务等领域开展精细化运营，实现资源精准匹配。对文化休闲、儿童游憩等相对成熟的领域开展智能化升级，提升服务效率。</w:t>
      </w:r>
    </w:p>
    <w:p w14:paraId="3571AC31">
      <w:pPr>
        <w:pStyle w:val="5"/>
        <w:keepNext w:val="0"/>
        <w:keepLines w:val="0"/>
        <w:pageBreakBefore w:val="0"/>
        <w:widowControl w:val="0"/>
        <w:suppressLineNumbers w:val="0"/>
        <w:kinsoku/>
        <w:wordWrap/>
        <w:topLinePunct w:val="0"/>
        <w:autoSpaceDE/>
        <w:autoSpaceDN/>
        <w:bidi w:val="0"/>
        <w:snapToGrid w:val="0"/>
        <w:spacing w:before="0" w:beforeAutospacing="0" w:after="0" w:afterAutospacing="0" w:line="600" w:lineRule="exact"/>
        <w:ind w:right="0" w:firstLine="640" w:firstLineChars="200"/>
        <w:jc w:val="both"/>
        <w:textAlignment w:val="auto"/>
        <w:rPr>
          <w:rFonts w:hint="default" w:ascii="Times New Roman" w:hAnsi="Times New Roman" w:cs="Times New Roman"/>
          <w:snapToGrid w:val="0"/>
          <w:color w:val="auto"/>
          <w:spacing w:val="0"/>
          <w:sz w:val="32"/>
          <w:szCs w:val="32"/>
          <w:highlight w:val="none"/>
          <w:shd w:val="pct15" w:color="auto" w:fill="FFFFFF"/>
          <w:lang w:val="en-US" w:eastAsia="zh-CN"/>
        </w:rPr>
      </w:pPr>
      <w:r>
        <w:rPr>
          <w:rFonts w:hint="default" w:ascii="Times New Roman" w:hAnsi="Times New Roman" w:eastAsia="仿宋_GB2312" w:cs="Times New Roman"/>
          <w:snapToGrid w:val="0"/>
          <w:color w:val="auto"/>
          <w:spacing w:val="0"/>
          <w:kern w:val="0"/>
          <w:sz w:val="32"/>
          <w:szCs w:val="32"/>
          <w:highlight w:val="none"/>
          <w:shd w:val="clear" w:color="auto" w:fill="auto"/>
          <w:lang w:val="en-US" w:eastAsia="zh-CN" w:bidi="ar-SA"/>
        </w:rPr>
        <w:t>3.</w:t>
      </w:r>
      <w:r>
        <w:rPr>
          <w:rFonts w:hint="default" w:ascii="Times New Roman" w:hAnsi="Times New Roman" w:eastAsia="楷体_GB2312" w:cs="Times New Roman"/>
          <w:snapToGrid w:val="0"/>
          <w:color w:val="auto"/>
          <w:spacing w:val="0"/>
          <w:kern w:val="0"/>
          <w:sz w:val="32"/>
          <w:szCs w:val="32"/>
          <w:highlight w:val="none"/>
          <w:shd w:val="clear" w:color="auto" w:fill="auto"/>
          <w:lang w:val="en-US" w:eastAsia="zh-CN" w:bidi="ar-SA"/>
        </w:rPr>
        <w:t xml:space="preserve"> </w:t>
      </w:r>
      <w:r>
        <w:rPr>
          <w:rFonts w:hint="default" w:ascii="Times New Roman" w:hAnsi="Times New Roman" w:eastAsia="楷体_GB2312" w:cs="Times New Roman"/>
          <w:b/>
          <w:bCs/>
          <w:snapToGrid w:val="0"/>
          <w:color w:val="auto"/>
          <w:spacing w:val="0"/>
          <w:kern w:val="0"/>
          <w:sz w:val="32"/>
          <w:szCs w:val="32"/>
          <w:highlight w:val="none"/>
          <w:shd w:val="clear" w:color="auto" w:fill="auto"/>
          <w:lang w:val="en-US" w:eastAsia="zh-CN" w:bidi="ar-SA"/>
        </w:rPr>
        <w:t>服务形式更趋多元</w:t>
      </w:r>
      <w:r>
        <w:rPr>
          <w:rFonts w:hint="default" w:ascii="Times New Roman" w:hAnsi="Times New Roman" w:eastAsia="楷体_GB2312" w:cs="Times New Roman"/>
          <w:snapToGrid w:val="0"/>
          <w:color w:val="auto"/>
          <w:spacing w:val="0"/>
          <w:kern w:val="0"/>
          <w:sz w:val="32"/>
          <w:szCs w:val="32"/>
          <w:highlight w:val="none"/>
          <w:shd w:val="clear" w:color="auto" w:fill="auto"/>
          <w:lang w:val="en-US" w:eastAsia="zh-CN" w:bidi="ar-SA"/>
        </w:rPr>
        <w:t>。</w:t>
      </w:r>
      <w:r>
        <w:rPr>
          <w:rFonts w:hint="default" w:ascii="Times New Roman" w:hAnsi="Times New Roman" w:eastAsia="仿宋_GB2312" w:cs="Times New Roman"/>
          <w:snapToGrid w:val="0"/>
          <w:color w:val="auto"/>
          <w:spacing w:val="0"/>
          <w:kern w:val="0"/>
          <w:sz w:val="32"/>
          <w:szCs w:val="32"/>
          <w:highlight w:val="none"/>
          <w:shd w:val="clear" w:color="auto" w:fill="auto"/>
          <w:lang w:val="en-US" w:eastAsia="zh-CN" w:bidi="ar-SA"/>
        </w:rPr>
        <w:t>引入社会组织、企业及志愿者资源，通过“公益+低偿+市场”模式运营，增强可持续性。通过多元主体协同、多场景渗透、多模式运营，构建“精准化+生态化”的服务新格局。针对“一老一小”群体，增加居家养老智能监测、亲子共享空间等，针对年轻群体、新市民群体，增设青年创客、新市民融入等新兴模块，满足全龄化需求。</w:t>
      </w:r>
    </w:p>
    <w:p w14:paraId="53863963">
      <w:pPr>
        <w:pStyle w:val="13"/>
        <w:keepNext w:val="0"/>
        <w:keepLines w:val="0"/>
        <w:pageBreakBefore w:val="0"/>
        <w:kinsoku/>
        <w:wordWrap/>
        <w:overflowPunct w:val="0"/>
        <w:topLinePunct w:val="0"/>
        <w:autoSpaceDE/>
        <w:autoSpaceDN/>
        <w:bidi w:val="0"/>
        <w:adjustRightInd w:val="0"/>
        <w:snapToGrid w:val="0"/>
        <w:spacing w:line="600" w:lineRule="exact"/>
        <w:ind w:left="640" w:firstLine="0" w:firstLineChars="0"/>
        <w:textAlignment w:val="auto"/>
        <w:rPr>
          <w:rFonts w:hint="default" w:ascii="Times New Roman" w:hAnsi="Times New Roman" w:eastAsia="黑体" w:cs="Times New Roman"/>
          <w:snapToGrid w:val="0"/>
          <w:color w:val="auto"/>
          <w:spacing w:val="0"/>
          <w:kern w:val="0"/>
          <w:sz w:val="32"/>
          <w:szCs w:val="32"/>
          <w:highlight w:val="none"/>
        </w:rPr>
      </w:pPr>
      <w:r>
        <w:rPr>
          <w:rFonts w:hint="default" w:ascii="Times New Roman" w:hAnsi="Times New Roman" w:eastAsia="黑体" w:cs="Times New Roman"/>
          <w:snapToGrid w:val="0"/>
          <w:color w:val="auto"/>
          <w:spacing w:val="0"/>
          <w:kern w:val="0"/>
          <w:sz w:val="32"/>
          <w:szCs w:val="32"/>
          <w:highlight w:val="none"/>
        </w:rPr>
        <w:t>四、建设任务</w:t>
      </w:r>
    </w:p>
    <w:p w14:paraId="346EABD6">
      <w:pPr>
        <w:keepNext w:val="0"/>
        <w:keepLines w:val="0"/>
        <w:pageBreakBefore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napToGrid w:val="0"/>
          <w:color w:val="auto"/>
          <w:spacing w:val="0"/>
          <w:kern w:val="0"/>
          <w:szCs w:val="32"/>
          <w:highlight w:val="none"/>
        </w:rPr>
      </w:pPr>
      <w:r>
        <w:rPr>
          <w:rFonts w:hint="default" w:ascii="Times New Roman" w:hAnsi="Times New Roman" w:eastAsia="楷体_GB2312" w:cs="Times New Roman"/>
          <w:b w:val="0"/>
          <w:bCs w:val="0"/>
          <w:snapToGrid w:val="0"/>
          <w:color w:val="auto"/>
          <w:spacing w:val="0"/>
          <w:kern w:val="0"/>
          <w:szCs w:val="32"/>
          <w:highlight w:val="none"/>
        </w:rPr>
        <w:t>1．</w:t>
      </w:r>
      <w:r>
        <w:rPr>
          <w:rFonts w:hint="default" w:ascii="Times New Roman" w:hAnsi="Times New Roman" w:eastAsia="楷体_GB2312" w:cs="Times New Roman"/>
          <w:b/>
          <w:bCs/>
          <w:snapToGrid w:val="0"/>
          <w:color w:val="auto"/>
          <w:spacing w:val="0"/>
          <w:kern w:val="0"/>
          <w:szCs w:val="32"/>
          <w:highlight w:val="none"/>
        </w:rPr>
        <w:t>加强社区服务设施布局规划。</w:t>
      </w:r>
      <w:r>
        <w:rPr>
          <w:rFonts w:hint="default" w:ascii="Times New Roman" w:hAnsi="Times New Roman" w:eastAsia="仿宋_GB2312" w:cs="Times New Roman"/>
          <w:snapToGrid w:val="0"/>
          <w:color w:val="auto"/>
          <w:spacing w:val="0"/>
          <w:kern w:val="0"/>
          <w:szCs w:val="32"/>
          <w:highlight w:val="none"/>
        </w:rPr>
        <w:t>根据人口分布和结构、社区建设年代和居住人群类型等特点精准施策，统筹规划和建设社区嵌入式服务设施，合力推进共建共享，持续提升服务水平。</w:t>
      </w:r>
      <w:r>
        <w:rPr>
          <w:rFonts w:hint="default" w:ascii="Times New Roman" w:hAnsi="Times New Roman" w:eastAsia="仿宋_GB2312" w:cs="Times New Roman"/>
          <w:b/>
          <w:bCs/>
          <w:snapToGrid w:val="0"/>
          <w:color w:val="auto"/>
          <w:spacing w:val="0"/>
          <w:kern w:val="0"/>
          <w:szCs w:val="32"/>
          <w:highlight w:val="none"/>
        </w:rPr>
        <w:t>鼓励新建居住区</w:t>
      </w:r>
      <w:r>
        <w:rPr>
          <w:rFonts w:hint="default" w:ascii="Times New Roman" w:hAnsi="Times New Roman" w:eastAsia="仿宋_GB2312" w:cs="Times New Roman"/>
          <w:snapToGrid w:val="0"/>
          <w:color w:val="auto"/>
          <w:spacing w:val="0"/>
          <w:kern w:val="0"/>
          <w:szCs w:val="32"/>
          <w:highlight w:val="none"/>
        </w:rPr>
        <w:t>重点建设一批功能和服务集成的社区嵌入式服务综合体，按照每百户不少于30平方米标准落实养老服务设施配建要求，按照每千人口不得少于10个托位的标准规划建设托育服务设施及配套安全设施，加强“一老一小”社区嵌入式托育服务设施建设。</w:t>
      </w:r>
      <w:r>
        <w:rPr>
          <w:rFonts w:hint="default" w:ascii="Times New Roman" w:hAnsi="Times New Roman" w:eastAsia="仿宋_GB2312" w:cs="Times New Roman"/>
          <w:b/>
          <w:bCs/>
          <w:snapToGrid w:val="0"/>
          <w:color w:val="auto"/>
          <w:spacing w:val="0"/>
          <w:kern w:val="0"/>
          <w:szCs w:val="32"/>
          <w:highlight w:val="none"/>
        </w:rPr>
        <w:t>鼓励已建成住宅区</w:t>
      </w:r>
      <w:r>
        <w:rPr>
          <w:rFonts w:hint="default" w:ascii="Times New Roman" w:hAnsi="Times New Roman" w:eastAsia="仿宋_GB2312" w:cs="Times New Roman"/>
          <w:snapToGrid w:val="0"/>
          <w:color w:val="auto"/>
          <w:spacing w:val="0"/>
          <w:kern w:val="0"/>
          <w:szCs w:val="32"/>
          <w:highlight w:val="none"/>
        </w:rPr>
        <w:t>通过新建、改建、购买、置换、租赁等方式，按照每百户不少于20平方米配套社区养老服务用房，每千人口不少于8个托位的配套标准予以补充完善。利用各类社区综合服务设施，探索“老幼共托”或“养老+托育+卫生”等整合型服务载体。</w:t>
      </w:r>
      <w:r>
        <w:rPr>
          <w:rFonts w:hint="default" w:ascii="Times New Roman" w:hAnsi="Times New Roman" w:eastAsia="仿宋_GB2312" w:cs="Times New Roman"/>
          <w:b/>
          <w:bCs/>
          <w:snapToGrid w:val="0"/>
          <w:color w:val="auto"/>
          <w:spacing w:val="0"/>
          <w:kern w:val="0"/>
          <w:szCs w:val="32"/>
          <w:highlight w:val="none"/>
        </w:rPr>
        <w:t>鼓励暂不具备条件的社区</w:t>
      </w:r>
      <w:r>
        <w:rPr>
          <w:rFonts w:hint="default" w:ascii="Times New Roman" w:hAnsi="Times New Roman" w:eastAsia="仿宋_GB2312" w:cs="Times New Roman"/>
          <w:snapToGrid w:val="0"/>
          <w:color w:val="auto"/>
          <w:spacing w:val="0"/>
          <w:kern w:val="0"/>
          <w:szCs w:val="32"/>
          <w:highlight w:val="none"/>
        </w:rPr>
        <w:t>，“插花”式分散建设功能相对单一的嵌入式服务设施；相邻社区通过片区统筹、资源共享和优势互补，打造跨社区综合服务联合体。（</w:t>
      </w:r>
      <w:r>
        <w:rPr>
          <w:rFonts w:hint="default" w:ascii="Times New Roman" w:hAnsi="Times New Roman" w:eastAsia="楷体_GB2312" w:cs="Times New Roman"/>
          <w:snapToGrid w:val="0"/>
          <w:color w:val="auto"/>
          <w:spacing w:val="0"/>
          <w:kern w:val="0"/>
          <w:szCs w:val="32"/>
          <w:highlight w:val="none"/>
        </w:rPr>
        <w:t>各区镇，市发改委、民政局、</w:t>
      </w:r>
      <w:r>
        <w:rPr>
          <w:rFonts w:hint="eastAsia" w:eastAsia="楷体_GB2312" w:cs="Times New Roman"/>
          <w:snapToGrid w:val="0"/>
          <w:color w:val="auto"/>
          <w:spacing w:val="0"/>
          <w:kern w:val="0"/>
          <w:szCs w:val="32"/>
          <w:highlight w:val="none"/>
          <w:lang w:eastAsia="zh-CN"/>
        </w:rPr>
        <w:t>人社局、</w:t>
      </w:r>
      <w:r>
        <w:rPr>
          <w:rFonts w:hint="default" w:ascii="Times New Roman" w:hAnsi="Times New Roman" w:eastAsia="楷体_GB2312" w:cs="Times New Roman"/>
          <w:snapToGrid w:val="0"/>
          <w:color w:val="auto"/>
          <w:spacing w:val="0"/>
          <w:kern w:val="0"/>
          <w:szCs w:val="32"/>
          <w:highlight w:val="none"/>
        </w:rPr>
        <w:t>资规局、住建局、文体广旅局、卫健委、市场监管局。以下政策措施均需各区镇落实，不再单独列出</w:t>
      </w:r>
      <w:r>
        <w:rPr>
          <w:rFonts w:hint="default" w:ascii="Times New Roman" w:hAnsi="Times New Roman" w:eastAsia="仿宋_GB2312" w:cs="Times New Roman"/>
          <w:snapToGrid w:val="0"/>
          <w:color w:val="auto"/>
          <w:spacing w:val="0"/>
          <w:kern w:val="0"/>
          <w:szCs w:val="32"/>
          <w:highlight w:val="none"/>
        </w:rPr>
        <w:t>）</w:t>
      </w:r>
    </w:p>
    <w:p w14:paraId="027A349D">
      <w:pPr>
        <w:keepNext w:val="0"/>
        <w:keepLines w:val="0"/>
        <w:pageBreakBefore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楷体_GB2312" w:cs="Times New Roman"/>
          <w:snapToGrid w:val="0"/>
          <w:color w:val="auto"/>
          <w:spacing w:val="0"/>
          <w:kern w:val="0"/>
          <w:szCs w:val="32"/>
          <w:highlight w:val="none"/>
        </w:rPr>
      </w:pPr>
      <w:r>
        <w:rPr>
          <w:rFonts w:hint="default" w:ascii="Times New Roman" w:hAnsi="Times New Roman" w:eastAsia="楷体_GB2312" w:cs="Times New Roman"/>
          <w:b w:val="0"/>
          <w:bCs w:val="0"/>
          <w:snapToGrid w:val="0"/>
          <w:color w:val="auto"/>
          <w:spacing w:val="0"/>
          <w:kern w:val="0"/>
          <w:szCs w:val="32"/>
          <w:highlight w:val="none"/>
        </w:rPr>
        <w:t>2．</w:t>
      </w:r>
      <w:r>
        <w:rPr>
          <w:rFonts w:hint="default" w:ascii="Times New Roman" w:hAnsi="Times New Roman" w:eastAsia="楷体_GB2312" w:cs="Times New Roman"/>
          <w:b/>
          <w:bCs/>
          <w:snapToGrid w:val="0"/>
          <w:color w:val="auto"/>
          <w:spacing w:val="0"/>
          <w:kern w:val="0"/>
          <w:szCs w:val="32"/>
          <w:highlight w:val="none"/>
        </w:rPr>
        <w:t>完善社区嵌入式服务设施功能配置。</w:t>
      </w:r>
      <w:r>
        <w:rPr>
          <w:rFonts w:hint="default" w:ascii="Times New Roman" w:hAnsi="Times New Roman" w:eastAsia="仿宋_GB2312" w:cs="Times New Roman"/>
          <w:snapToGrid w:val="0"/>
          <w:color w:val="auto"/>
          <w:spacing w:val="0"/>
          <w:kern w:val="0"/>
          <w:szCs w:val="32"/>
          <w:highlight w:val="none"/>
        </w:rPr>
        <w:t>统筹谋划推进设施建设和服务嵌入，科学设置服务场地。加强基础功能服务设施建设，满足群众最基本的、最普遍的、最迫切的需求，特别是要优先保障“一老一小”的必要空间，避免以行政办公功能替代为民服务功能。广泛征求居民意见和诉求，尽可能的满足人民群众生活、生产、发展所需要的社区助餐、家政便民、健康服务、体育健身、文化休闲等服务设施，综合体建设原则上不少于3项服务功能，其中养老服务、托育服务、儿童托管、社区助餐服务功能不少于2项。推动多元主体自动自发参与服务设施设计，强化城市体检结果运用，按需精准嵌入服务设施，科学选配服务功能，避免“一刀切”。积极提升设施空间利用率，鼓励场地空间共建共享，倡导错时使用，打造更多“多功能厅”。（</w:t>
      </w:r>
      <w:r>
        <w:rPr>
          <w:rFonts w:hint="default" w:ascii="Times New Roman" w:hAnsi="Times New Roman" w:eastAsia="楷体_GB2312" w:cs="Times New Roman"/>
          <w:snapToGrid w:val="0"/>
          <w:color w:val="auto"/>
          <w:spacing w:val="0"/>
          <w:kern w:val="0"/>
          <w:szCs w:val="32"/>
          <w:highlight w:val="none"/>
        </w:rPr>
        <w:t>市民政局、</w:t>
      </w:r>
      <w:r>
        <w:rPr>
          <w:rFonts w:hint="eastAsia" w:eastAsia="楷体_GB2312" w:cs="Times New Roman"/>
          <w:snapToGrid w:val="0"/>
          <w:color w:val="auto"/>
          <w:spacing w:val="0"/>
          <w:kern w:val="0"/>
          <w:szCs w:val="32"/>
          <w:highlight w:val="none"/>
          <w:lang w:eastAsia="zh-CN"/>
        </w:rPr>
        <w:t>人社局、</w:t>
      </w:r>
      <w:r>
        <w:rPr>
          <w:rFonts w:hint="default" w:ascii="Times New Roman" w:hAnsi="Times New Roman" w:eastAsia="楷体_GB2312" w:cs="Times New Roman"/>
          <w:snapToGrid w:val="0"/>
          <w:color w:val="auto"/>
          <w:spacing w:val="0"/>
          <w:kern w:val="0"/>
          <w:szCs w:val="32"/>
          <w:highlight w:val="none"/>
        </w:rPr>
        <w:t>资规局、住建局、</w:t>
      </w:r>
      <w:r>
        <w:rPr>
          <w:rFonts w:hint="eastAsia" w:eastAsia="楷体_GB2312" w:cs="Times New Roman"/>
          <w:snapToGrid w:val="0"/>
          <w:color w:val="auto"/>
          <w:spacing w:val="0"/>
          <w:kern w:val="0"/>
          <w:szCs w:val="32"/>
          <w:highlight w:val="none"/>
          <w:lang w:eastAsia="zh-CN"/>
        </w:rPr>
        <w:t>商务局、文体广旅局、</w:t>
      </w:r>
      <w:r>
        <w:rPr>
          <w:rFonts w:hint="default" w:ascii="Times New Roman" w:hAnsi="Times New Roman" w:eastAsia="楷体_GB2312" w:cs="Times New Roman"/>
          <w:snapToGrid w:val="0"/>
          <w:color w:val="auto"/>
          <w:spacing w:val="0"/>
          <w:kern w:val="0"/>
          <w:szCs w:val="32"/>
          <w:highlight w:val="none"/>
        </w:rPr>
        <w:t>卫健委）</w:t>
      </w:r>
    </w:p>
    <w:p w14:paraId="6098E5E1">
      <w:pPr>
        <w:keepNext w:val="0"/>
        <w:keepLines w:val="0"/>
        <w:pageBreakBefore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楷体_GB2312" w:cs="Times New Roman"/>
          <w:snapToGrid w:val="0"/>
          <w:color w:val="auto"/>
          <w:spacing w:val="0"/>
          <w:kern w:val="0"/>
          <w:szCs w:val="32"/>
          <w:highlight w:val="none"/>
        </w:rPr>
      </w:pPr>
      <w:r>
        <w:rPr>
          <w:rFonts w:hint="default" w:ascii="Times New Roman" w:hAnsi="Times New Roman" w:eastAsia="楷体_GB2312" w:cs="Times New Roman"/>
          <w:b w:val="0"/>
          <w:bCs w:val="0"/>
          <w:snapToGrid w:val="0"/>
          <w:color w:val="auto"/>
          <w:spacing w:val="0"/>
          <w:kern w:val="0"/>
          <w:szCs w:val="32"/>
          <w:highlight w:val="none"/>
        </w:rPr>
        <w:t>3．</w:t>
      </w:r>
      <w:r>
        <w:rPr>
          <w:rFonts w:hint="default" w:ascii="Times New Roman" w:hAnsi="Times New Roman" w:eastAsia="楷体_GB2312" w:cs="Times New Roman"/>
          <w:b/>
          <w:bCs/>
          <w:snapToGrid w:val="0"/>
          <w:color w:val="auto"/>
          <w:spacing w:val="0"/>
          <w:kern w:val="0"/>
          <w:szCs w:val="32"/>
          <w:highlight w:val="none"/>
        </w:rPr>
        <w:t>多渠道拓展设施建设场地空间。</w:t>
      </w:r>
      <w:r>
        <w:rPr>
          <w:rFonts w:hint="default" w:ascii="Times New Roman" w:hAnsi="Times New Roman" w:eastAsia="仿宋_GB2312" w:cs="Times New Roman"/>
          <w:snapToGrid w:val="0"/>
          <w:color w:val="auto"/>
          <w:spacing w:val="0"/>
          <w:kern w:val="0"/>
          <w:szCs w:val="32"/>
          <w:highlight w:val="none"/>
        </w:rPr>
        <w:t>按照“补改一批、转型一批、划转一批、配建一批”原则，实施社区嵌入式服务设施建设场地空间拓展攻坚行动。通过综合整治、拆除、腾退老旧小区现有空间、低效土地再开发、整合社区用房、产权置换、征收改建等多种途径，补建改建一批居民急需的社区嵌入式服务设施。鼓励存量土地、建筑资源的产权权益人因地制宜采取独立开发、有偿转让、股份合作等多种形式参与到社区嵌入式服务设施建设。新建社区要按照“同步规划、同步建设、同步验收、同步交付”原则，加强配套社区嵌入式服务设施建设。允许各区镇和国企事业单位结合实际，在保持所有权不变前提下，按规定履行相关国有资产管理程序后，将房产提供给社区发展嵌入式服务。</w:t>
      </w:r>
      <w:r>
        <w:rPr>
          <w:rFonts w:hint="default" w:ascii="Times New Roman" w:hAnsi="Times New Roman" w:eastAsia="楷体_GB2312" w:cs="Times New Roman"/>
          <w:snapToGrid w:val="0"/>
          <w:color w:val="auto"/>
          <w:spacing w:val="0"/>
          <w:kern w:val="0"/>
          <w:szCs w:val="32"/>
          <w:highlight w:val="none"/>
        </w:rPr>
        <w:t>（市资规局、住建局）</w:t>
      </w:r>
    </w:p>
    <w:p w14:paraId="0A3711FA">
      <w:pPr>
        <w:keepNext w:val="0"/>
        <w:keepLines w:val="0"/>
        <w:pageBreakBefore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楷体_GB2312" w:cs="Times New Roman"/>
          <w:snapToGrid w:val="0"/>
          <w:color w:val="auto"/>
          <w:spacing w:val="0"/>
          <w:kern w:val="0"/>
          <w:szCs w:val="32"/>
          <w:highlight w:val="none"/>
        </w:rPr>
      </w:pPr>
      <w:r>
        <w:rPr>
          <w:rFonts w:hint="default" w:ascii="Times New Roman" w:hAnsi="Times New Roman" w:eastAsia="楷体_GB2312" w:cs="Times New Roman"/>
          <w:b w:val="0"/>
          <w:bCs w:val="0"/>
          <w:snapToGrid w:val="0"/>
          <w:color w:val="auto"/>
          <w:spacing w:val="0"/>
          <w:kern w:val="0"/>
          <w:szCs w:val="32"/>
          <w:highlight w:val="none"/>
        </w:rPr>
        <w:t>4．</w:t>
      </w:r>
      <w:r>
        <w:rPr>
          <w:rFonts w:hint="default" w:ascii="Times New Roman" w:hAnsi="Times New Roman" w:eastAsia="楷体_GB2312" w:cs="Times New Roman"/>
          <w:b/>
          <w:bCs/>
          <w:snapToGrid w:val="0"/>
          <w:color w:val="auto"/>
          <w:spacing w:val="0"/>
          <w:kern w:val="0"/>
          <w:szCs w:val="32"/>
          <w:highlight w:val="none"/>
        </w:rPr>
        <w:t>积极推进社会存量资源改造利用。</w:t>
      </w:r>
      <w:r>
        <w:rPr>
          <w:rFonts w:hint="default" w:ascii="Times New Roman" w:hAnsi="Times New Roman" w:eastAsia="仿宋_GB2312" w:cs="Times New Roman"/>
          <w:snapToGrid w:val="0"/>
          <w:color w:val="auto"/>
          <w:spacing w:val="0"/>
          <w:kern w:val="0"/>
          <w:szCs w:val="32"/>
          <w:highlight w:val="none"/>
        </w:rPr>
        <w:t>大力优化整合社区配套建设用房等公共空间，清理非必要、不合理用途，腾退资源优先用于发展社区嵌入式服务。加快社区周边闲置厂房、仓库、集体房屋、商业设施等社会存量资源出租转让，用好城市“金角银边”，对不符合城市发展方向、闲置低效、失修失养的园区、楼宇、学校、房产及土地进行盘活和改造开发，可按照相关规定用于发展社区嵌入式服务。支持引导机关、企事业单位等盘活闲置用地用房，聚焦一站式空间如社区食堂，整合闲置资源，打造兼具多元化、功能性及烟火气的便民场景。</w:t>
      </w:r>
      <w:r>
        <w:rPr>
          <w:rFonts w:hint="default" w:ascii="Times New Roman" w:hAnsi="Times New Roman" w:eastAsia="楷体_GB2312" w:cs="Times New Roman"/>
          <w:snapToGrid w:val="0"/>
          <w:color w:val="auto"/>
          <w:spacing w:val="0"/>
          <w:kern w:val="0"/>
          <w:szCs w:val="32"/>
          <w:highlight w:val="none"/>
        </w:rPr>
        <w:t>（市资规局、住建局）</w:t>
      </w:r>
    </w:p>
    <w:p w14:paraId="73C76204">
      <w:pPr>
        <w:keepNext w:val="0"/>
        <w:keepLines w:val="0"/>
        <w:pageBreakBefore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napToGrid w:val="0"/>
          <w:color w:val="auto"/>
          <w:spacing w:val="0"/>
          <w:kern w:val="0"/>
          <w:szCs w:val="32"/>
          <w:highlight w:val="none"/>
        </w:rPr>
      </w:pPr>
      <w:r>
        <w:rPr>
          <w:rFonts w:hint="default" w:ascii="Times New Roman" w:hAnsi="Times New Roman" w:eastAsia="楷体_GB2312" w:cs="Times New Roman"/>
          <w:b w:val="0"/>
          <w:bCs w:val="0"/>
          <w:snapToGrid w:val="0"/>
          <w:color w:val="auto"/>
          <w:spacing w:val="0"/>
          <w:kern w:val="0"/>
          <w:szCs w:val="32"/>
          <w:highlight w:val="none"/>
        </w:rPr>
        <w:t xml:space="preserve">5. </w:t>
      </w:r>
      <w:r>
        <w:rPr>
          <w:rFonts w:hint="default" w:ascii="Times New Roman" w:hAnsi="Times New Roman" w:eastAsia="楷体_GB2312" w:cs="Times New Roman"/>
          <w:b/>
          <w:bCs/>
          <w:snapToGrid w:val="0"/>
          <w:color w:val="auto"/>
          <w:spacing w:val="0"/>
          <w:kern w:val="0"/>
          <w:szCs w:val="32"/>
          <w:highlight w:val="none"/>
        </w:rPr>
        <w:t>推进企业集宿区社区化建设。</w:t>
      </w:r>
      <w:r>
        <w:rPr>
          <w:rFonts w:hint="default" w:ascii="Times New Roman" w:hAnsi="Times New Roman" w:eastAsia="仿宋_GB2312" w:cs="Times New Roman"/>
          <w:snapToGrid w:val="0"/>
          <w:color w:val="auto"/>
          <w:spacing w:val="0"/>
          <w:kern w:val="0"/>
          <w:szCs w:val="32"/>
          <w:highlight w:val="none"/>
        </w:rPr>
        <w:t>立足企业集宿区人口密集、服务需求多元的特点，参照巴城梧桐社区的实践经验，因地制宜建设企业集宿区社区嵌入式服务设施。优先配置助餐、健康诊疗、文体活动等基础便民设施，并逐步嵌入托育托管、政策咨询、技能培训、心理疏导、定制公交等特色服务。鼓励企业、社会化机构通过自有厂房改造、租赁等方式参与集宿区服务设施建设。探索“企业集宿区+邻近社区”共建联合体，实现场地错时共享、服务跨区覆盖。加强试点经验总结，形成可复制推广的“集宿区转型社区”样板，引导全市企业集宿区逐步向“功能复合化、服务普惠化、管理精细化”方向升级，切实提升企业职工居住品质与归属感，助力产城融合高质量发展。</w:t>
      </w:r>
      <w:r>
        <w:rPr>
          <w:rFonts w:hint="default" w:ascii="Times New Roman" w:hAnsi="Times New Roman" w:eastAsia="楷体_GB2312" w:cs="Times New Roman"/>
          <w:snapToGrid w:val="0"/>
          <w:color w:val="auto"/>
          <w:spacing w:val="0"/>
          <w:kern w:val="0"/>
          <w:szCs w:val="32"/>
          <w:highlight w:val="none"/>
        </w:rPr>
        <w:t>（市住建局、民政局、</w:t>
      </w:r>
      <w:r>
        <w:rPr>
          <w:rFonts w:hint="eastAsia" w:eastAsia="楷体_GB2312" w:cs="Times New Roman"/>
          <w:snapToGrid w:val="0"/>
          <w:color w:val="auto"/>
          <w:spacing w:val="0"/>
          <w:kern w:val="0"/>
          <w:szCs w:val="32"/>
          <w:highlight w:val="none"/>
          <w:lang w:eastAsia="zh-CN"/>
        </w:rPr>
        <w:t>人社局、</w:t>
      </w:r>
      <w:r>
        <w:rPr>
          <w:rFonts w:hint="default" w:ascii="Times New Roman" w:hAnsi="Times New Roman" w:eastAsia="楷体_GB2312" w:cs="Times New Roman"/>
          <w:snapToGrid w:val="0"/>
          <w:color w:val="auto"/>
          <w:spacing w:val="0"/>
          <w:kern w:val="0"/>
          <w:szCs w:val="32"/>
          <w:highlight w:val="none"/>
        </w:rPr>
        <w:t>商务局、</w:t>
      </w:r>
      <w:r>
        <w:rPr>
          <w:rFonts w:hint="eastAsia" w:eastAsia="楷体_GB2312" w:cs="Times New Roman"/>
          <w:snapToGrid w:val="0"/>
          <w:color w:val="auto"/>
          <w:spacing w:val="0"/>
          <w:kern w:val="0"/>
          <w:szCs w:val="32"/>
          <w:highlight w:val="none"/>
          <w:lang w:eastAsia="zh-CN"/>
        </w:rPr>
        <w:t>文体广旅局、卫健委、</w:t>
      </w:r>
      <w:r>
        <w:rPr>
          <w:rFonts w:hint="default" w:ascii="Times New Roman" w:hAnsi="Times New Roman" w:eastAsia="楷体_GB2312" w:cs="Times New Roman"/>
          <w:snapToGrid w:val="0"/>
          <w:color w:val="auto"/>
          <w:spacing w:val="0"/>
          <w:kern w:val="0"/>
          <w:szCs w:val="32"/>
          <w:highlight w:val="none"/>
        </w:rPr>
        <w:t>总工会）</w:t>
      </w:r>
    </w:p>
    <w:p w14:paraId="0E94944E">
      <w:pPr>
        <w:keepNext w:val="0"/>
        <w:keepLines w:val="0"/>
        <w:pageBreakBefore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楷体_GB2312" w:cs="Times New Roman"/>
          <w:snapToGrid w:val="0"/>
          <w:color w:val="auto"/>
          <w:spacing w:val="0"/>
          <w:kern w:val="0"/>
          <w:szCs w:val="32"/>
          <w:highlight w:val="none"/>
        </w:rPr>
      </w:pPr>
      <w:r>
        <w:rPr>
          <w:rFonts w:hint="default" w:ascii="Times New Roman" w:hAnsi="Times New Roman" w:eastAsia="楷体_GB2312" w:cs="Times New Roman"/>
          <w:b w:val="0"/>
          <w:bCs w:val="0"/>
          <w:snapToGrid w:val="0"/>
          <w:color w:val="auto"/>
          <w:spacing w:val="0"/>
          <w:kern w:val="0"/>
          <w:szCs w:val="32"/>
          <w:highlight w:val="none"/>
        </w:rPr>
        <w:t>6．</w:t>
      </w:r>
      <w:r>
        <w:rPr>
          <w:rFonts w:hint="default" w:ascii="Times New Roman" w:hAnsi="Times New Roman" w:eastAsia="楷体_GB2312" w:cs="Times New Roman"/>
          <w:b/>
          <w:bCs/>
          <w:snapToGrid w:val="0"/>
          <w:color w:val="auto"/>
          <w:spacing w:val="0"/>
          <w:kern w:val="0"/>
          <w:szCs w:val="32"/>
          <w:highlight w:val="none"/>
        </w:rPr>
        <w:t>加大高质量社区服务供给。</w:t>
      </w:r>
      <w:r>
        <w:rPr>
          <w:rFonts w:hint="default" w:ascii="Times New Roman" w:hAnsi="Times New Roman" w:eastAsia="仿宋_GB2312" w:cs="Times New Roman"/>
          <w:snapToGrid w:val="0"/>
          <w:color w:val="auto"/>
          <w:spacing w:val="0"/>
          <w:kern w:val="0"/>
          <w:szCs w:val="32"/>
          <w:highlight w:val="none"/>
        </w:rPr>
        <w:t>实施城市社区美好生活建设行动。支持各区镇在养老托育、社区助餐、家政便民等领域积极建设培育一批服务优、重诚信、能带动的“领跑者”企业和服务品牌，各服务运营主体根据服务成本、合理利润等提供价格普惠的社区服务以及其他公益性服务。</w:t>
      </w:r>
      <w:r>
        <w:rPr>
          <w:rFonts w:hint="default" w:ascii="Times New Roman" w:hAnsi="Times New Roman" w:eastAsia="仿宋_GB2312" w:cs="Times New Roman"/>
          <w:snapToGrid w:val="0"/>
          <w:color w:val="auto"/>
          <w:spacing w:val="0"/>
          <w:kern w:val="0"/>
          <w:szCs w:val="32"/>
          <w:highlight w:val="none"/>
          <w:shd w:val="clear" w:color="auto" w:fill="auto"/>
        </w:rPr>
        <w:t>聚焦快递小哥</w:t>
      </w:r>
      <w:r>
        <w:rPr>
          <w:rFonts w:hint="default" w:ascii="Times New Roman" w:hAnsi="Times New Roman" w:eastAsia="仿宋_GB2312" w:cs="Times New Roman"/>
          <w:snapToGrid w:val="0"/>
          <w:color w:val="auto"/>
          <w:spacing w:val="0"/>
          <w:kern w:val="0"/>
          <w:szCs w:val="32"/>
          <w:highlight w:val="none"/>
          <w:shd w:val="clear" w:color="auto" w:fill="auto"/>
          <w:lang w:val="en-US" w:eastAsia="zh-CN"/>
        </w:rPr>
        <w:t>等</w:t>
      </w:r>
      <w:r>
        <w:rPr>
          <w:rFonts w:hint="default" w:ascii="Times New Roman" w:hAnsi="Times New Roman" w:eastAsia="仿宋_GB2312" w:cs="Times New Roman"/>
          <w:snapToGrid w:val="0"/>
          <w:color w:val="auto"/>
          <w:spacing w:val="0"/>
          <w:kern w:val="0"/>
          <w:szCs w:val="32"/>
          <w:highlight w:val="none"/>
          <w:shd w:val="clear" w:color="auto" w:fill="auto"/>
        </w:rPr>
        <w:t>新就业群体需求，</w:t>
      </w:r>
      <w:r>
        <w:rPr>
          <w:rFonts w:hint="default" w:ascii="Times New Roman" w:hAnsi="Times New Roman" w:eastAsia="仿宋_GB2312" w:cs="Times New Roman"/>
          <w:snapToGrid w:val="0"/>
          <w:color w:val="auto"/>
          <w:spacing w:val="0"/>
          <w:kern w:val="0"/>
          <w:szCs w:val="32"/>
          <w:highlight w:val="none"/>
          <w:shd w:val="clear" w:color="auto" w:fill="auto"/>
          <w:lang w:val="en-US" w:eastAsia="zh-CN"/>
        </w:rPr>
        <w:t>建设</w:t>
      </w:r>
      <w:r>
        <w:rPr>
          <w:rFonts w:hint="default" w:ascii="Times New Roman" w:hAnsi="Times New Roman" w:eastAsia="仿宋_GB2312" w:cs="Times New Roman"/>
          <w:snapToGrid w:val="0"/>
          <w:color w:val="auto"/>
          <w:spacing w:val="0"/>
          <w:kern w:val="0"/>
          <w:szCs w:val="32"/>
          <w:highlight w:val="none"/>
          <w:shd w:val="clear" w:color="auto" w:fill="auto"/>
        </w:rPr>
        <w:t>共享休息站、电动车充电桩等设施</w:t>
      </w:r>
      <w:r>
        <w:rPr>
          <w:rFonts w:hint="default" w:ascii="Times New Roman" w:hAnsi="Times New Roman" w:eastAsia="仿宋_GB2312" w:cs="Times New Roman"/>
          <w:snapToGrid w:val="0"/>
          <w:color w:val="auto"/>
          <w:spacing w:val="0"/>
          <w:kern w:val="0"/>
          <w:szCs w:val="32"/>
          <w:highlight w:val="none"/>
          <w:shd w:val="clear" w:color="auto" w:fill="auto"/>
          <w:lang w:eastAsia="zh-CN"/>
        </w:rPr>
        <w:t>，</w:t>
      </w:r>
      <w:r>
        <w:rPr>
          <w:rFonts w:hint="default" w:ascii="Times New Roman" w:hAnsi="Times New Roman" w:eastAsia="仿宋_GB2312" w:cs="Times New Roman"/>
          <w:snapToGrid w:val="0"/>
          <w:color w:val="auto"/>
          <w:spacing w:val="0"/>
          <w:kern w:val="0"/>
          <w:szCs w:val="32"/>
          <w:highlight w:val="none"/>
          <w:shd w:val="clear" w:color="auto" w:fill="auto"/>
          <w:lang w:val="en-US" w:eastAsia="zh-CN"/>
        </w:rPr>
        <w:t>将</w:t>
      </w:r>
      <w:r>
        <w:rPr>
          <w:rFonts w:hint="default" w:ascii="Times New Roman" w:hAnsi="Times New Roman" w:eastAsia="仿宋_GB2312" w:cs="Times New Roman"/>
          <w:snapToGrid w:val="0"/>
          <w:color w:val="auto"/>
          <w:spacing w:val="0"/>
          <w:kern w:val="0"/>
          <w:szCs w:val="32"/>
          <w:highlight w:val="none"/>
          <w:shd w:val="clear" w:color="auto" w:fill="auto"/>
        </w:rPr>
        <w:t>职业培训、权益保障、政策咨询等专项服务</w:t>
      </w:r>
      <w:r>
        <w:rPr>
          <w:rFonts w:hint="default" w:ascii="Times New Roman" w:hAnsi="Times New Roman" w:eastAsia="仿宋_GB2312" w:cs="Times New Roman"/>
          <w:snapToGrid w:val="0"/>
          <w:color w:val="auto"/>
          <w:spacing w:val="0"/>
          <w:kern w:val="0"/>
          <w:szCs w:val="32"/>
          <w:highlight w:val="none"/>
          <w:shd w:val="clear" w:color="auto" w:fill="auto"/>
          <w:lang w:val="en-US" w:eastAsia="zh-CN"/>
        </w:rPr>
        <w:t>嵌入社区</w:t>
      </w:r>
      <w:r>
        <w:rPr>
          <w:rFonts w:hint="default" w:ascii="Times New Roman" w:hAnsi="Times New Roman" w:eastAsia="仿宋_GB2312" w:cs="Times New Roman"/>
          <w:snapToGrid w:val="0"/>
          <w:color w:val="auto"/>
          <w:spacing w:val="0"/>
          <w:kern w:val="0"/>
          <w:szCs w:val="32"/>
          <w:highlight w:val="none"/>
          <w:shd w:val="clear" w:color="auto" w:fill="auto"/>
        </w:rPr>
        <w:t>，探索建立新就业群体社区登记备案制度，实现服务与管理的双向覆盖。</w:t>
      </w:r>
      <w:r>
        <w:rPr>
          <w:rFonts w:hint="default" w:ascii="Times New Roman" w:hAnsi="Times New Roman" w:eastAsia="仿宋_GB2312" w:cs="Times New Roman"/>
          <w:snapToGrid w:val="0"/>
          <w:color w:val="auto"/>
          <w:spacing w:val="0"/>
          <w:kern w:val="0"/>
          <w:szCs w:val="32"/>
          <w:highlight w:val="none"/>
        </w:rPr>
        <w:t>加快数字赋能，统筹整合社区各类服务资源，贯通社区服务相关线上平台，完善公共服务空间治理地图，动态掌握服务资源配置情况，促进基层公共服务提质增效。建设便民惠民智慧服务圈，提供线上线下融合的社区治理、公共服务、生活服务及智能小区等服务，形成百花齐放的建设格局</w:t>
      </w:r>
      <w:r>
        <w:rPr>
          <w:rFonts w:hint="default" w:ascii="Times New Roman" w:hAnsi="Times New Roman" w:eastAsia="仿宋_GB2312" w:cs="Times New Roman"/>
          <w:snapToGrid w:val="0"/>
          <w:color w:val="auto"/>
          <w:spacing w:val="0"/>
          <w:kern w:val="0"/>
          <w:szCs w:val="32"/>
          <w:highlight w:val="none"/>
          <w:shd w:val="clear" w:color="auto" w:fill="auto"/>
        </w:rPr>
        <w:t>。</w:t>
      </w:r>
      <w:r>
        <w:rPr>
          <w:rFonts w:hint="default" w:ascii="Times New Roman" w:hAnsi="Times New Roman" w:eastAsia="楷体_GB2312" w:cs="Times New Roman"/>
          <w:snapToGrid w:val="0"/>
          <w:color w:val="auto"/>
          <w:spacing w:val="0"/>
          <w:kern w:val="0"/>
          <w:szCs w:val="32"/>
          <w:highlight w:val="none"/>
        </w:rPr>
        <w:t>（市委社会工作部，市民政局、数据局、商务局、卫健委）</w:t>
      </w:r>
    </w:p>
    <w:p w14:paraId="4348EF07">
      <w:pPr>
        <w:keepNext w:val="0"/>
        <w:keepLines w:val="0"/>
        <w:pageBreakBefore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楷体_GB2312" w:cs="Times New Roman"/>
          <w:snapToGrid w:val="0"/>
          <w:color w:val="auto"/>
          <w:spacing w:val="0"/>
          <w:kern w:val="0"/>
          <w:szCs w:val="32"/>
          <w:highlight w:val="none"/>
        </w:rPr>
      </w:pPr>
      <w:r>
        <w:rPr>
          <w:rFonts w:hint="default" w:ascii="Times New Roman" w:hAnsi="Times New Roman" w:eastAsia="楷体_GB2312" w:cs="Times New Roman"/>
          <w:b w:val="0"/>
          <w:bCs w:val="0"/>
          <w:snapToGrid w:val="0"/>
          <w:color w:val="auto"/>
          <w:spacing w:val="0"/>
          <w:kern w:val="0"/>
          <w:szCs w:val="32"/>
          <w:highlight w:val="none"/>
        </w:rPr>
        <w:t xml:space="preserve">7. </w:t>
      </w:r>
      <w:r>
        <w:rPr>
          <w:rFonts w:hint="default" w:ascii="Times New Roman" w:hAnsi="Times New Roman" w:eastAsia="楷体_GB2312" w:cs="Times New Roman"/>
          <w:b/>
          <w:bCs/>
          <w:snapToGrid w:val="0"/>
          <w:color w:val="auto"/>
          <w:spacing w:val="0"/>
          <w:kern w:val="0"/>
          <w:szCs w:val="32"/>
          <w:highlight w:val="none"/>
        </w:rPr>
        <w:t>推</w:t>
      </w:r>
      <w:r>
        <w:rPr>
          <w:rFonts w:hint="eastAsia" w:eastAsia="楷体_GB2312" w:cs="Times New Roman"/>
          <w:b/>
          <w:bCs/>
          <w:snapToGrid w:val="0"/>
          <w:color w:val="auto"/>
          <w:spacing w:val="0"/>
          <w:kern w:val="0"/>
          <w:szCs w:val="32"/>
          <w:highlight w:val="none"/>
          <w:lang w:val="en-US" w:eastAsia="zh-CN"/>
        </w:rPr>
        <w:t>广</w:t>
      </w:r>
      <w:r>
        <w:rPr>
          <w:rFonts w:hint="default" w:ascii="Times New Roman" w:hAnsi="Times New Roman" w:eastAsia="楷体_GB2312" w:cs="Times New Roman"/>
          <w:b/>
          <w:bCs/>
          <w:snapToGrid w:val="0"/>
          <w:color w:val="auto"/>
          <w:spacing w:val="0"/>
          <w:kern w:val="0"/>
          <w:szCs w:val="32"/>
          <w:highlight w:val="none"/>
        </w:rPr>
        <w:t>社区服务专业化品牌化连锁化运营模式。</w:t>
      </w:r>
      <w:r>
        <w:rPr>
          <w:rFonts w:hint="default" w:ascii="Times New Roman" w:hAnsi="Times New Roman" w:eastAsia="仿宋_GB2312" w:cs="Times New Roman"/>
          <w:snapToGrid w:val="0"/>
          <w:color w:val="auto"/>
          <w:spacing w:val="0"/>
          <w:kern w:val="0"/>
          <w:szCs w:val="32"/>
          <w:highlight w:val="none"/>
        </w:rPr>
        <w:t>发挥市场机制作用和规模效应，根据居民需求、市场供给和财政能力，科学选择合理可持续的服务模式。鼓励事业单位、社会组织、志愿团队等多元主体参与运营，支持引导专业社会力量连锁化运营、托管式运营一定数量的社区嵌入式服务设施，探索“统一管理、统一</w:t>
      </w:r>
      <w:r>
        <w:rPr>
          <w:rFonts w:hint="default" w:ascii="Times New Roman" w:hAnsi="Times New Roman" w:eastAsia="仿宋_GB2312" w:cs="Times New Roman"/>
          <w:color w:val="auto"/>
          <w:spacing w:val="0"/>
          <w:szCs w:val="32"/>
          <w:highlight w:val="none"/>
        </w:rPr>
        <w:t>标识、统一配置、统一培训</w:t>
      </w:r>
      <w:r>
        <w:rPr>
          <w:rFonts w:hint="default" w:ascii="Times New Roman" w:hAnsi="Times New Roman" w:eastAsia="仿宋_GB2312" w:cs="Times New Roman"/>
          <w:snapToGrid w:val="0"/>
          <w:color w:val="auto"/>
          <w:spacing w:val="0"/>
          <w:kern w:val="0"/>
          <w:szCs w:val="32"/>
          <w:highlight w:val="none"/>
        </w:rPr>
        <w:t>、统一评价”服务模式，促进连锁企业规模化、集团化管理经营。同时发展二店经济，聚焦昆山本土品牌，通过单店模型验证到标准化复制再到规模化扩张，推动可持续发展。鼓励有条件的家政服务机构拓展服务网络，实现跨区域连锁化发展，提供专业化、高质量的社区服务。</w:t>
      </w:r>
      <w:r>
        <w:rPr>
          <w:rFonts w:hint="default" w:ascii="Times New Roman" w:hAnsi="Times New Roman" w:eastAsia="楷体_GB2312" w:cs="Times New Roman"/>
          <w:snapToGrid w:val="0"/>
          <w:color w:val="auto"/>
          <w:spacing w:val="0"/>
          <w:kern w:val="0"/>
          <w:szCs w:val="32"/>
          <w:highlight w:val="none"/>
        </w:rPr>
        <w:t>（市民政局、财政局、住建局、商务局、卫健委）</w:t>
      </w:r>
    </w:p>
    <w:p w14:paraId="457BB210">
      <w:pPr>
        <w:keepNext w:val="0"/>
        <w:keepLines w:val="0"/>
        <w:pageBreakBefore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楷体_GB2312" w:cs="Times New Roman"/>
          <w:snapToGrid w:val="0"/>
          <w:color w:val="auto"/>
          <w:spacing w:val="0"/>
          <w:kern w:val="0"/>
          <w:szCs w:val="32"/>
          <w:highlight w:val="none"/>
        </w:rPr>
      </w:pPr>
      <w:r>
        <w:rPr>
          <w:rFonts w:hint="default" w:ascii="Times New Roman" w:hAnsi="Times New Roman" w:eastAsia="楷体_GB2312" w:cs="Times New Roman"/>
          <w:b w:val="0"/>
          <w:bCs w:val="0"/>
          <w:snapToGrid w:val="0"/>
          <w:color w:val="auto"/>
          <w:spacing w:val="0"/>
          <w:kern w:val="0"/>
          <w:szCs w:val="32"/>
          <w:highlight w:val="none"/>
        </w:rPr>
        <w:t xml:space="preserve">8. </w:t>
      </w:r>
      <w:r>
        <w:rPr>
          <w:rFonts w:hint="default" w:ascii="Times New Roman" w:hAnsi="Times New Roman" w:eastAsia="楷体_GB2312" w:cs="Times New Roman"/>
          <w:b/>
          <w:bCs/>
          <w:snapToGrid w:val="0"/>
          <w:color w:val="auto"/>
          <w:spacing w:val="0"/>
          <w:kern w:val="0"/>
          <w:szCs w:val="32"/>
          <w:highlight w:val="none"/>
        </w:rPr>
        <w:t>推进党建引领社区治理。</w:t>
      </w:r>
      <w:r>
        <w:rPr>
          <w:rFonts w:hint="default" w:ascii="Times New Roman" w:hAnsi="Times New Roman" w:eastAsia="仿宋_GB2312" w:cs="Times New Roman"/>
          <w:snapToGrid w:val="0"/>
          <w:color w:val="auto"/>
          <w:spacing w:val="0"/>
          <w:kern w:val="0"/>
          <w:szCs w:val="32"/>
          <w:highlight w:val="none"/>
        </w:rPr>
        <w:t>充分发挥基层党组织的战斗堡垒作用，全面构建以基层党组织为领导、基层政府为主导、基层群众性自治组织为基础、城乡居民为主体，业主委员会、物业公司、驻区单位、群团组织、社会组织等共同参与的城乡社区治理体系。加强专职社工队伍建设，夯实社区工作力量。积极培育社区服务专业化、公益化社会组织，完善居民参与社区服务治理的制度化渠道。鼓励引导社会组织，特别是人民群众参与运营，</w:t>
      </w:r>
      <w:r>
        <w:rPr>
          <w:rFonts w:hint="default" w:ascii="Times New Roman" w:hAnsi="Times New Roman" w:eastAsia="仿宋_GB2312" w:cs="Times New Roman"/>
          <w:bCs/>
          <w:snapToGrid w:val="0"/>
          <w:color w:val="auto"/>
          <w:spacing w:val="0"/>
          <w:kern w:val="0"/>
          <w:szCs w:val="32"/>
          <w:highlight w:val="none"/>
        </w:rPr>
        <w:t>利用现有的阵地场所，有针对性地为居民提供多元化、个性化的社区服务。</w:t>
      </w:r>
      <w:r>
        <w:rPr>
          <w:rFonts w:hint="default" w:ascii="Times New Roman" w:hAnsi="Times New Roman" w:eastAsia="楷体_GB2312" w:cs="Times New Roman"/>
          <w:snapToGrid w:val="0"/>
          <w:color w:val="auto"/>
          <w:spacing w:val="0"/>
          <w:kern w:val="0"/>
          <w:szCs w:val="32"/>
          <w:highlight w:val="none"/>
        </w:rPr>
        <w:t>（市委组织部、</w:t>
      </w:r>
      <w:r>
        <w:rPr>
          <w:rFonts w:hint="eastAsia" w:eastAsia="楷体_GB2312" w:cs="Times New Roman"/>
          <w:snapToGrid w:val="0"/>
          <w:color w:val="auto"/>
          <w:spacing w:val="0"/>
          <w:kern w:val="0"/>
          <w:szCs w:val="32"/>
          <w:highlight w:val="none"/>
          <w:lang w:eastAsia="zh-CN"/>
        </w:rPr>
        <w:t>社会工作</w:t>
      </w:r>
      <w:r>
        <w:rPr>
          <w:rFonts w:hint="default" w:ascii="Times New Roman" w:hAnsi="Times New Roman" w:eastAsia="楷体_GB2312" w:cs="Times New Roman"/>
          <w:snapToGrid w:val="0"/>
          <w:color w:val="auto"/>
          <w:spacing w:val="0"/>
          <w:kern w:val="0"/>
          <w:szCs w:val="32"/>
          <w:highlight w:val="none"/>
        </w:rPr>
        <w:t>部</w:t>
      </w:r>
      <w:r>
        <w:rPr>
          <w:rFonts w:hint="eastAsia" w:eastAsia="楷体_GB2312" w:cs="Times New Roman"/>
          <w:snapToGrid w:val="0"/>
          <w:color w:val="auto"/>
          <w:spacing w:val="0"/>
          <w:kern w:val="0"/>
          <w:szCs w:val="32"/>
          <w:highlight w:val="none"/>
          <w:lang w:eastAsia="zh-CN"/>
        </w:rPr>
        <w:t>，</w:t>
      </w:r>
      <w:r>
        <w:rPr>
          <w:rFonts w:hint="default" w:ascii="Times New Roman" w:hAnsi="Times New Roman" w:eastAsia="楷体_GB2312" w:cs="Times New Roman"/>
          <w:snapToGrid w:val="0"/>
          <w:color w:val="auto"/>
          <w:spacing w:val="0"/>
          <w:kern w:val="0"/>
          <w:szCs w:val="32"/>
          <w:highlight w:val="none"/>
        </w:rPr>
        <w:t>市民政局）</w:t>
      </w:r>
    </w:p>
    <w:p w14:paraId="3855DAD4">
      <w:pPr>
        <w:pStyle w:val="13"/>
        <w:keepNext w:val="0"/>
        <w:keepLines w:val="0"/>
        <w:pageBreakBefore w:val="0"/>
        <w:kinsoku/>
        <w:wordWrap/>
        <w:overflowPunct w:val="0"/>
        <w:topLinePunct w:val="0"/>
        <w:autoSpaceDE/>
        <w:autoSpaceDN/>
        <w:bidi w:val="0"/>
        <w:adjustRightInd w:val="0"/>
        <w:snapToGrid w:val="0"/>
        <w:spacing w:line="600" w:lineRule="exact"/>
        <w:ind w:left="640" w:firstLine="0" w:firstLineChars="0"/>
        <w:textAlignment w:val="auto"/>
        <w:rPr>
          <w:rFonts w:hint="default" w:ascii="Times New Roman" w:hAnsi="Times New Roman" w:eastAsia="黑体" w:cs="Times New Roman"/>
          <w:snapToGrid w:val="0"/>
          <w:color w:val="auto"/>
          <w:spacing w:val="0"/>
          <w:kern w:val="0"/>
          <w:sz w:val="32"/>
          <w:szCs w:val="32"/>
          <w:highlight w:val="none"/>
        </w:rPr>
      </w:pPr>
      <w:r>
        <w:rPr>
          <w:rFonts w:hint="eastAsia" w:ascii="Times New Roman" w:hAnsi="Times New Roman" w:eastAsia="黑体" w:cs="Times New Roman"/>
          <w:snapToGrid w:val="0"/>
          <w:color w:val="auto"/>
          <w:spacing w:val="0"/>
          <w:kern w:val="0"/>
          <w:sz w:val="32"/>
          <w:szCs w:val="32"/>
          <w:highlight w:val="none"/>
          <w:lang w:val="en-US" w:eastAsia="zh-CN"/>
        </w:rPr>
        <w:t>五</w:t>
      </w:r>
      <w:r>
        <w:rPr>
          <w:rFonts w:hint="default" w:ascii="Times New Roman" w:hAnsi="Times New Roman" w:eastAsia="黑体" w:cs="Times New Roman"/>
          <w:snapToGrid w:val="0"/>
          <w:color w:val="auto"/>
          <w:spacing w:val="0"/>
          <w:kern w:val="0"/>
          <w:sz w:val="32"/>
          <w:szCs w:val="32"/>
          <w:highlight w:val="none"/>
        </w:rPr>
        <w:t>、支持保障</w:t>
      </w:r>
    </w:p>
    <w:p w14:paraId="7786C0CD">
      <w:pPr>
        <w:keepNext w:val="0"/>
        <w:keepLines w:val="0"/>
        <w:pageBreakBefore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楷体_GB2312" w:cs="Times New Roman"/>
          <w:snapToGrid w:val="0"/>
          <w:color w:val="auto"/>
          <w:spacing w:val="0"/>
          <w:kern w:val="0"/>
          <w:szCs w:val="32"/>
          <w:highlight w:val="none"/>
        </w:rPr>
      </w:pPr>
      <w:r>
        <w:rPr>
          <w:rFonts w:hint="default" w:ascii="Times New Roman" w:hAnsi="Times New Roman" w:eastAsia="楷体_GB2312" w:cs="Times New Roman"/>
          <w:b w:val="0"/>
          <w:bCs w:val="0"/>
          <w:snapToGrid w:val="0"/>
          <w:color w:val="auto"/>
          <w:spacing w:val="0"/>
          <w:kern w:val="0"/>
          <w:szCs w:val="32"/>
          <w:highlight w:val="none"/>
        </w:rPr>
        <w:t>1．</w:t>
      </w:r>
      <w:r>
        <w:rPr>
          <w:rFonts w:hint="default" w:ascii="Times New Roman" w:hAnsi="Times New Roman" w:eastAsia="楷体_GB2312" w:cs="Times New Roman"/>
          <w:b/>
          <w:bCs/>
          <w:snapToGrid w:val="0"/>
          <w:color w:val="auto"/>
          <w:spacing w:val="0"/>
          <w:kern w:val="0"/>
          <w:szCs w:val="32"/>
          <w:highlight w:val="none"/>
        </w:rPr>
        <w:t>统筹建设资金渠道。</w:t>
      </w:r>
      <w:r>
        <w:rPr>
          <w:rFonts w:hint="default" w:ascii="Times New Roman" w:hAnsi="Times New Roman" w:eastAsia="仿宋_GB2312" w:cs="Times New Roman"/>
          <w:snapToGrid w:val="0"/>
          <w:color w:val="auto"/>
          <w:spacing w:val="0"/>
          <w:kern w:val="0"/>
          <w:szCs w:val="32"/>
          <w:highlight w:val="none"/>
        </w:rPr>
        <w:t>通过统筹中央预算内投资、地方财政投入、社会力量投入等积极拓宽资金来源。用足用好</w:t>
      </w:r>
      <w:r>
        <w:rPr>
          <w:rFonts w:hint="default" w:ascii="Times New Roman" w:hAnsi="Times New Roman" w:eastAsia="仿宋_GB2312" w:cs="Times New Roman"/>
          <w:color w:val="auto"/>
          <w:spacing w:val="0"/>
          <w:szCs w:val="32"/>
          <w:highlight w:val="none"/>
        </w:rPr>
        <w:t>中央财政支持普惠托育服务发展示范项目补助资金，在盘活利用现有场地、培训从业人员、减免租金等方面支持普惠托育服务发展。</w:t>
      </w:r>
      <w:r>
        <w:rPr>
          <w:rFonts w:hint="default" w:ascii="Times New Roman" w:hAnsi="Times New Roman" w:eastAsia="仿宋_GB2312" w:cs="Times New Roman"/>
          <w:snapToGrid w:val="0"/>
          <w:color w:val="auto"/>
          <w:spacing w:val="0"/>
          <w:kern w:val="0"/>
          <w:szCs w:val="32"/>
          <w:highlight w:val="none"/>
        </w:rPr>
        <w:t>结合实施城镇老旧小区改造，积极争取积极应对人口老龄化工程和托育建设等中央预算内资金支持。支持符合条件的社区嵌入式服务设施建设项目申报地方政府专项债券。发挥各类金融机构作用，按照市场化原则为符合条件的社区嵌入式服务设施建设项目提供支持。鼓励银行业金融机构在政策范围内对符合普惠养老专项再贷款、支小再贷款条件的社区嵌入式服务设施建设项目和服务运营主体予以支持。</w:t>
      </w:r>
      <w:r>
        <w:rPr>
          <w:rFonts w:hint="default" w:ascii="Times New Roman" w:hAnsi="Times New Roman" w:eastAsia="楷体_GB2312" w:cs="Times New Roman"/>
          <w:snapToGrid w:val="0"/>
          <w:color w:val="auto"/>
          <w:spacing w:val="0"/>
          <w:kern w:val="0"/>
          <w:szCs w:val="32"/>
          <w:highlight w:val="none"/>
        </w:rPr>
        <w:t>（市财政局、发改委、民政局、住建局、卫健委）</w:t>
      </w:r>
    </w:p>
    <w:p w14:paraId="1CC779A0">
      <w:pPr>
        <w:keepNext w:val="0"/>
        <w:keepLines w:val="0"/>
        <w:pageBreakBefore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楷体_GB2312" w:cs="Times New Roman"/>
          <w:snapToGrid w:val="0"/>
          <w:color w:val="auto"/>
          <w:spacing w:val="0"/>
          <w:kern w:val="0"/>
          <w:szCs w:val="32"/>
          <w:highlight w:val="none"/>
        </w:rPr>
      </w:pPr>
      <w:r>
        <w:rPr>
          <w:rFonts w:hint="default" w:ascii="Times New Roman" w:hAnsi="Times New Roman" w:eastAsia="楷体_GB2312" w:cs="Times New Roman"/>
          <w:b w:val="0"/>
          <w:bCs w:val="0"/>
          <w:snapToGrid w:val="0"/>
          <w:color w:val="auto"/>
          <w:spacing w:val="0"/>
          <w:kern w:val="0"/>
          <w:szCs w:val="32"/>
          <w:highlight w:val="none"/>
        </w:rPr>
        <w:t>2．</w:t>
      </w:r>
      <w:r>
        <w:rPr>
          <w:rFonts w:hint="default" w:ascii="Times New Roman" w:hAnsi="Times New Roman" w:eastAsia="楷体_GB2312" w:cs="Times New Roman"/>
          <w:b/>
          <w:bCs/>
          <w:snapToGrid w:val="0"/>
          <w:color w:val="auto"/>
          <w:spacing w:val="0"/>
          <w:kern w:val="0"/>
          <w:szCs w:val="32"/>
          <w:highlight w:val="none"/>
        </w:rPr>
        <w:t>优化项目审批和服务企业登记备案手续。</w:t>
      </w:r>
      <w:r>
        <w:rPr>
          <w:rFonts w:hint="default" w:ascii="Times New Roman" w:hAnsi="Times New Roman" w:eastAsia="仿宋_GB2312" w:cs="Times New Roman"/>
          <w:snapToGrid w:val="0"/>
          <w:color w:val="auto"/>
          <w:spacing w:val="0"/>
          <w:kern w:val="0"/>
          <w:szCs w:val="32"/>
          <w:highlight w:val="none"/>
        </w:rPr>
        <w:t>认真贯彻落实《城市社区嵌入式服务设施建设导则（试行）》，指导各区镇组织开展试点项目建设。社区嵌入式服务设施在选址布局时要做好安全评估和安全设施配套建设等工作，在坚决守住安全底线、科学评估论证前提下，结合实际放宽或简化设施场地面积等要求，探索制定建设标准。鼓励以城区、街道等行政区域为单位整合辖区内项目，统一开展前期工作。完善社区嵌入式服务机构的行业准入准营政策，简化相关许可审批办理环节、明确办理时限并向社会公布。推进登记便利化改革，降低企业开办成本，激发市场主体活力。</w:t>
      </w:r>
      <w:r>
        <w:rPr>
          <w:rFonts w:hint="default" w:ascii="Times New Roman" w:hAnsi="Times New Roman" w:eastAsia="楷体_GB2312" w:cs="Times New Roman"/>
          <w:snapToGrid w:val="0"/>
          <w:color w:val="auto"/>
          <w:spacing w:val="0"/>
          <w:kern w:val="0"/>
          <w:szCs w:val="32"/>
          <w:highlight w:val="none"/>
        </w:rPr>
        <w:t>（市数据局、市场监管局）</w:t>
      </w:r>
    </w:p>
    <w:p w14:paraId="62A313A0">
      <w:pPr>
        <w:keepNext w:val="0"/>
        <w:keepLines w:val="0"/>
        <w:pageBreakBefore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楷体_GB2312" w:cs="Times New Roman"/>
          <w:snapToGrid w:val="0"/>
          <w:color w:val="auto"/>
          <w:spacing w:val="0"/>
          <w:kern w:val="0"/>
          <w:szCs w:val="32"/>
          <w:highlight w:val="none"/>
        </w:rPr>
      </w:pPr>
      <w:r>
        <w:rPr>
          <w:rFonts w:hint="default" w:ascii="Times New Roman" w:hAnsi="Times New Roman" w:eastAsia="楷体_GB2312" w:cs="Times New Roman"/>
          <w:b w:val="0"/>
          <w:bCs w:val="0"/>
          <w:snapToGrid w:val="0"/>
          <w:color w:val="auto"/>
          <w:spacing w:val="0"/>
          <w:kern w:val="0"/>
          <w:szCs w:val="32"/>
          <w:highlight w:val="none"/>
        </w:rPr>
        <w:t>3．</w:t>
      </w:r>
      <w:r>
        <w:rPr>
          <w:rFonts w:hint="default" w:ascii="Times New Roman" w:hAnsi="Times New Roman" w:eastAsia="楷体_GB2312" w:cs="Times New Roman"/>
          <w:b/>
          <w:bCs/>
          <w:snapToGrid w:val="0"/>
          <w:color w:val="auto"/>
          <w:spacing w:val="0"/>
          <w:kern w:val="0"/>
          <w:szCs w:val="32"/>
          <w:highlight w:val="none"/>
        </w:rPr>
        <w:t>加强规划、建设、用地等政策支持。</w:t>
      </w:r>
      <w:r>
        <w:rPr>
          <w:rFonts w:hint="default" w:ascii="Times New Roman" w:hAnsi="Times New Roman" w:eastAsia="仿宋_GB2312" w:cs="Times New Roman"/>
          <w:snapToGrid w:val="0"/>
          <w:color w:val="auto"/>
          <w:spacing w:val="0"/>
          <w:kern w:val="0"/>
          <w:szCs w:val="32"/>
          <w:highlight w:val="none"/>
        </w:rPr>
        <w:t>在编制城市国土空间总体规划和详细规划、推进城乡社区服务体系建设时要统筹考虑社区嵌入式服务设施建设需求。结合城镇老旧小区改造、完整社区建设、一刻钟便民生活圈等，合理配置服务用地，在符合国土空间详细规划前提下，适当放宽规划条件要求。政府建设的社区嵌入式服务设施作为非营利性公共服务设施，允许5年内不变更原有土地用途。鼓励未充分利用的用地更新复合利用，允许同一街区内地块拆分合并、优化土地流转。经市政府批准，对利用存量建筑改造建设社区嵌入式服务设施的，可享受5年内不改变用地主体和规划条件的支持政策。在确保消防安全前提下，积极探索优化办理社区嵌入式服务设施消防验收备案手续。</w:t>
      </w:r>
      <w:r>
        <w:rPr>
          <w:rFonts w:hint="default" w:ascii="Times New Roman" w:hAnsi="Times New Roman" w:eastAsia="楷体_GB2312" w:cs="Times New Roman"/>
          <w:snapToGrid w:val="0"/>
          <w:color w:val="auto"/>
          <w:spacing w:val="0"/>
          <w:kern w:val="0"/>
          <w:szCs w:val="32"/>
          <w:highlight w:val="none"/>
        </w:rPr>
        <w:t>（市资规局、住建局、民政局、商务局）</w:t>
      </w:r>
    </w:p>
    <w:p w14:paraId="66094D46">
      <w:pPr>
        <w:pStyle w:val="13"/>
        <w:keepNext w:val="0"/>
        <w:keepLines w:val="0"/>
        <w:pageBreakBefore w:val="0"/>
        <w:kinsoku/>
        <w:wordWrap/>
        <w:overflowPunct w:val="0"/>
        <w:topLinePunct w:val="0"/>
        <w:autoSpaceDE/>
        <w:autoSpaceDN/>
        <w:bidi w:val="0"/>
        <w:adjustRightInd w:val="0"/>
        <w:snapToGrid w:val="0"/>
        <w:spacing w:line="600" w:lineRule="exact"/>
        <w:ind w:left="640" w:firstLine="0" w:firstLineChars="0"/>
        <w:textAlignment w:val="auto"/>
        <w:rPr>
          <w:rFonts w:hint="default" w:ascii="Times New Roman" w:hAnsi="Times New Roman" w:eastAsia="黑体" w:cs="Times New Roman"/>
          <w:snapToGrid w:val="0"/>
          <w:color w:val="auto"/>
          <w:spacing w:val="0"/>
          <w:kern w:val="0"/>
          <w:sz w:val="32"/>
          <w:szCs w:val="32"/>
          <w:highlight w:val="none"/>
        </w:rPr>
      </w:pPr>
      <w:r>
        <w:rPr>
          <w:rFonts w:hint="eastAsia" w:ascii="Times New Roman" w:hAnsi="Times New Roman" w:eastAsia="黑体" w:cs="Times New Roman"/>
          <w:snapToGrid w:val="0"/>
          <w:color w:val="auto"/>
          <w:spacing w:val="0"/>
          <w:kern w:val="0"/>
          <w:sz w:val="32"/>
          <w:szCs w:val="32"/>
          <w:highlight w:val="none"/>
          <w:lang w:val="en-US" w:eastAsia="zh-CN"/>
        </w:rPr>
        <w:t>六</w:t>
      </w:r>
      <w:r>
        <w:rPr>
          <w:rFonts w:hint="default" w:ascii="Times New Roman" w:hAnsi="Times New Roman" w:eastAsia="黑体" w:cs="Times New Roman"/>
          <w:snapToGrid w:val="0"/>
          <w:color w:val="auto"/>
          <w:spacing w:val="0"/>
          <w:kern w:val="0"/>
          <w:sz w:val="32"/>
          <w:szCs w:val="32"/>
          <w:highlight w:val="none"/>
        </w:rPr>
        <w:t>、组织实施</w:t>
      </w:r>
    </w:p>
    <w:p w14:paraId="380CD5C5">
      <w:pPr>
        <w:keepNext w:val="0"/>
        <w:keepLines w:val="0"/>
        <w:pageBreakBefore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napToGrid w:val="0"/>
          <w:color w:val="auto"/>
          <w:spacing w:val="0"/>
          <w:kern w:val="0"/>
          <w:szCs w:val="32"/>
          <w:highlight w:val="none"/>
        </w:rPr>
      </w:pPr>
      <w:r>
        <w:rPr>
          <w:rFonts w:hint="default" w:ascii="Times New Roman" w:hAnsi="Times New Roman" w:eastAsia="楷体_GB2312" w:cs="Times New Roman"/>
          <w:b w:val="0"/>
          <w:bCs w:val="0"/>
          <w:snapToGrid w:val="0"/>
          <w:color w:val="auto"/>
          <w:spacing w:val="0"/>
          <w:kern w:val="0"/>
          <w:szCs w:val="32"/>
          <w:highlight w:val="none"/>
        </w:rPr>
        <w:t>1．</w:t>
      </w:r>
      <w:r>
        <w:rPr>
          <w:rFonts w:hint="default" w:ascii="Times New Roman" w:hAnsi="Times New Roman" w:eastAsia="楷体_GB2312" w:cs="Times New Roman"/>
          <w:b/>
          <w:bCs/>
          <w:snapToGrid w:val="0"/>
          <w:color w:val="auto"/>
          <w:spacing w:val="0"/>
          <w:kern w:val="0"/>
          <w:szCs w:val="32"/>
          <w:highlight w:val="none"/>
        </w:rPr>
        <w:t>加强组织领导，细化职责分工。</w:t>
      </w:r>
      <w:r>
        <w:rPr>
          <w:rFonts w:hint="default" w:ascii="Times New Roman" w:hAnsi="Times New Roman" w:eastAsia="仿宋_GB2312" w:cs="Times New Roman"/>
          <w:snapToGrid w:val="0"/>
          <w:color w:val="auto"/>
          <w:spacing w:val="0"/>
          <w:kern w:val="0"/>
          <w:szCs w:val="32"/>
          <w:highlight w:val="none"/>
        </w:rPr>
        <w:t>建立健全党委政府领导，发改、住建、资规等会同相关部门认真履职、协同配合的工程实施机制，加快完善相关制度规范、政策措施，加强统筹协调和评估督导。发改委负责总体统筹和组织协调，指导做好建设前期工作。住建局结合城镇老旧小区改造、完整社区建设等城市更新工作，统筹推进试点区域内工程项目建设实施。资规局需做好用地、规划许可等要素保障，加强规划、用地政策支持，在符合国家有关规定的前提下适度简化规划许可等办理程序。教育、民政、文化体育、卫生健康、市场监督等有关部门积极加大政策支持，加强指导监督，有力有序有效推动服务质量提升和规范安全发展。各区镇、社区要强化属地责任，加快项目建设，做好运营管理。</w:t>
      </w:r>
    </w:p>
    <w:p w14:paraId="175012F0">
      <w:pPr>
        <w:keepNext w:val="0"/>
        <w:keepLines w:val="0"/>
        <w:pageBreakBefore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napToGrid w:val="0"/>
          <w:color w:val="auto"/>
          <w:spacing w:val="0"/>
          <w:kern w:val="0"/>
          <w:szCs w:val="32"/>
          <w:highlight w:val="none"/>
        </w:rPr>
      </w:pPr>
      <w:r>
        <w:rPr>
          <w:rFonts w:hint="default" w:ascii="Times New Roman" w:hAnsi="Times New Roman" w:eastAsia="楷体_GB2312" w:cs="Times New Roman"/>
          <w:b w:val="0"/>
          <w:bCs w:val="0"/>
          <w:snapToGrid w:val="0"/>
          <w:color w:val="auto"/>
          <w:spacing w:val="0"/>
          <w:kern w:val="0"/>
          <w:szCs w:val="32"/>
          <w:highlight w:val="none"/>
        </w:rPr>
        <w:t>2．</w:t>
      </w:r>
      <w:r>
        <w:rPr>
          <w:rFonts w:hint="default" w:ascii="Times New Roman" w:hAnsi="Times New Roman" w:eastAsia="楷体_GB2312" w:cs="Times New Roman"/>
          <w:b/>
          <w:bCs/>
          <w:snapToGrid w:val="0"/>
          <w:color w:val="auto"/>
          <w:spacing w:val="0"/>
          <w:kern w:val="0"/>
          <w:szCs w:val="32"/>
          <w:highlight w:val="none"/>
        </w:rPr>
        <w:t>加强评估调度，压实工作责任。</w:t>
      </w:r>
      <w:r>
        <w:rPr>
          <w:rFonts w:hint="default" w:ascii="Times New Roman" w:hAnsi="Times New Roman" w:eastAsia="仿宋_GB2312" w:cs="Times New Roman"/>
          <w:snapToGrid w:val="0"/>
          <w:color w:val="auto"/>
          <w:spacing w:val="0"/>
          <w:kern w:val="0"/>
          <w:szCs w:val="32"/>
          <w:highlight w:val="none"/>
        </w:rPr>
        <w:t>各板块、各相关部门要落实主体责任，健全组织领导和推进机制，抓好试点项目组织实施，建立定期研究、督导检查等工作制度，统筹中央相关转移支付资金和自有财力加大支持力度，及时研究和解决推进社区嵌入式服务设施建设中出现的新情况、新问题，推动各项试点任务落地见效。建立先行先试试点社区动态调整机制，强化对重点任务、政策措施和重点项目实施情况的跟踪监测，将建设进度滞后、成效不及预期的社区及时调出试点范围。</w:t>
      </w:r>
    </w:p>
    <w:p w14:paraId="61433DE7">
      <w:pPr>
        <w:keepNext w:val="0"/>
        <w:keepLines w:val="0"/>
        <w:pageBreakBefore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napToGrid w:val="0"/>
          <w:color w:val="auto"/>
          <w:spacing w:val="0"/>
          <w:kern w:val="0"/>
          <w:szCs w:val="32"/>
          <w:highlight w:val="none"/>
        </w:rPr>
      </w:pPr>
      <w:r>
        <w:rPr>
          <w:rFonts w:hint="default" w:ascii="Times New Roman" w:hAnsi="Times New Roman" w:eastAsia="楷体_GB2312" w:cs="Times New Roman"/>
          <w:b w:val="0"/>
          <w:bCs w:val="0"/>
          <w:snapToGrid w:val="0"/>
          <w:color w:val="auto"/>
          <w:spacing w:val="0"/>
          <w:kern w:val="0"/>
          <w:szCs w:val="32"/>
          <w:highlight w:val="none"/>
        </w:rPr>
        <w:t>3．</w:t>
      </w:r>
      <w:r>
        <w:rPr>
          <w:rFonts w:hint="default" w:ascii="Times New Roman" w:hAnsi="Times New Roman" w:eastAsia="楷体_GB2312" w:cs="Times New Roman"/>
          <w:b/>
          <w:bCs/>
          <w:snapToGrid w:val="0"/>
          <w:color w:val="auto"/>
          <w:spacing w:val="0"/>
          <w:kern w:val="0"/>
          <w:szCs w:val="32"/>
          <w:highlight w:val="none"/>
        </w:rPr>
        <w:t>加强经验总结，营造良好环境。</w:t>
      </w:r>
      <w:r>
        <w:rPr>
          <w:rFonts w:hint="default" w:ascii="Times New Roman" w:hAnsi="Times New Roman" w:eastAsia="仿宋_GB2312" w:cs="Times New Roman"/>
          <w:snapToGrid w:val="0"/>
          <w:color w:val="auto"/>
          <w:spacing w:val="0"/>
          <w:kern w:val="0"/>
          <w:szCs w:val="32"/>
          <w:highlight w:val="none"/>
        </w:rPr>
        <w:t>及时总结并上报试点过程中具有示范效应的建设模式和改革举措，加快形成“昆山经验”。进一步创新宣传模式，全方位、多形式、立体化宣传社区嵌入式服务设施建设的经验和成效，提高全社会参与嵌入式服务设施建设运营的积极性，营造共谋共建共享的良好氛围。</w:t>
      </w:r>
    </w:p>
    <w:p w14:paraId="747DBA3F">
      <w:pPr>
        <w:keepNext w:val="0"/>
        <w:keepLines w:val="0"/>
        <w:pageBreakBefore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napToGrid w:val="0"/>
          <w:color w:val="auto"/>
          <w:spacing w:val="0"/>
          <w:kern w:val="0"/>
          <w:szCs w:val="32"/>
          <w:highlight w:val="none"/>
          <w:lang w:val="zh-CN"/>
        </w:rPr>
      </w:pPr>
      <w:r>
        <w:rPr>
          <w:rFonts w:hint="default" w:ascii="Times New Roman" w:hAnsi="Times New Roman" w:eastAsia="楷体_GB2312" w:cs="Times New Roman"/>
          <w:b w:val="0"/>
          <w:bCs w:val="0"/>
          <w:snapToGrid w:val="0"/>
          <w:color w:val="auto"/>
          <w:spacing w:val="0"/>
          <w:kern w:val="0"/>
          <w:szCs w:val="32"/>
          <w:highlight w:val="none"/>
        </w:rPr>
        <w:t>4．</w:t>
      </w:r>
      <w:r>
        <w:rPr>
          <w:rFonts w:hint="default" w:ascii="Times New Roman" w:hAnsi="Times New Roman" w:eastAsia="楷体_GB2312" w:cs="Times New Roman"/>
          <w:b/>
          <w:bCs/>
          <w:snapToGrid w:val="0"/>
          <w:color w:val="auto"/>
          <w:spacing w:val="0"/>
          <w:kern w:val="0"/>
          <w:szCs w:val="32"/>
          <w:highlight w:val="none"/>
        </w:rPr>
        <w:t>加强综合监管，守住安全底线。</w:t>
      </w:r>
      <w:r>
        <w:rPr>
          <w:rFonts w:hint="default" w:ascii="Times New Roman" w:hAnsi="Times New Roman" w:eastAsia="仿宋_GB2312" w:cs="Times New Roman"/>
          <w:snapToGrid w:val="0"/>
          <w:color w:val="auto"/>
          <w:spacing w:val="0"/>
          <w:kern w:val="0"/>
          <w:szCs w:val="32"/>
          <w:highlight w:val="none"/>
        </w:rPr>
        <w:t>各有关部门依照职责分工，加大对社区嵌入式服务中涉及的食品安全、消防安全、服务价格、卫生保健和人身安全等监管力度，及时查处侵害老年人、婴幼儿等人群人身权益的违法行为和安全生产责任事故。加强对政府购买养老、托育等公共服务的监督管理，</w:t>
      </w:r>
      <w:r>
        <w:rPr>
          <w:rFonts w:hint="default" w:ascii="Times New Roman" w:hAnsi="Times New Roman" w:eastAsia="仿宋_GB2312" w:cs="Times New Roman"/>
          <w:snapToGrid w:val="0"/>
          <w:color w:val="auto"/>
          <w:spacing w:val="0"/>
          <w:kern w:val="0"/>
          <w:szCs w:val="32"/>
          <w:highlight w:val="none"/>
          <w:lang w:val="zh-CN"/>
        </w:rPr>
        <w:t>规范服务内容标准，定期开展第三方绩效评价，探索应用信息化技术手段，对服务对象定期开展满意度测评并加大结果运用力度，常态化推进服务质量提升。</w:t>
      </w:r>
    </w:p>
    <w:p w14:paraId="0ACD1472">
      <w:pPr>
        <w:keepNext w:val="0"/>
        <w:keepLines w:val="0"/>
        <w:pageBreakBefore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napToGrid w:val="0"/>
          <w:color w:val="auto"/>
          <w:spacing w:val="0"/>
          <w:kern w:val="0"/>
          <w:szCs w:val="32"/>
          <w:highlight w:val="none"/>
          <w:lang w:val="zh-CN"/>
        </w:rPr>
      </w:pPr>
    </w:p>
    <w:p w14:paraId="3C8DE9C0">
      <w:pPr>
        <w:keepNext w:val="0"/>
        <w:keepLines w:val="0"/>
        <w:pageBreakBefore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napToGrid w:val="0"/>
          <w:color w:val="auto"/>
          <w:spacing w:val="0"/>
          <w:kern w:val="0"/>
          <w:szCs w:val="32"/>
          <w:highlight w:val="none"/>
        </w:rPr>
      </w:pPr>
      <w:r>
        <w:rPr>
          <w:rFonts w:hint="default" w:ascii="Times New Roman" w:hAnsi="Times New Roman" w:eastAsia="仿宋_GB2312" w:cs="Times New Roman"/>
          <w:snapToGrid w:val="0"/>
          <w:color w:val="auto"/>
          <w:spacing w:val="0"/>
          <w:kern w:val="0"/>
          <w:szCs w:val="32"/>
          <w:highlight w:val="none"/>
          <w:lang w:val="en-US" w:eastAsia="zh-CN"/>
        </w:rPr>
        <w:t>附件</w:t>
      </w:r>
      <w:r>
        <w:rPr>
          <w:rFonts w:hint="default" w:ascii="Times New Roman" w:hAnsi="Times New Roman" w:eastAsia="仿宋_GB2312" w:cs="Times New Roman"/>
          <w:snapToGrid w:val="0"/>
          <w:color w:val="auto"/>
          <w:spacing w:val="0"/>
          <w:kern w:val="0"/>
          <w:szCs w:val="32"/>
          <w:highlight w:val="none"/>
        </w:rPr>
        <w:t>：</w:t>
      </w:r>
    </w:p>
    <w:p w14:paraId="64E70741">
      <w:pPr>
        <w:keepNext w:val="0"/>
        <w:keepLines w:val="0"/>
        <w:pageBreakBefore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napToGrid w:val="0"/>
          <w:color w:val="auto"/>
          <w:spacing w:val="0"/>
          <w:kern w:val="0"/>
          <w:szCs w:val="32"/>
          <w:highlight w:val="none"/>
          <w:lang w:val="en-US" w:eastAsia="zh-CN"/>
        </w:rPr>
      </w:pPr>
      <w:r>
        <w:rPr>
          <w:rFonts w:hint="default" w:ascii="Times New Roman" w:hAnsi="Times New Roman" w:eastAsia="仿宋_GB2312" w:cs="Times New Roman"/>
          <w:snapToGrid w:val="0"/>
          <w:color w:val="auto"/>
          <w:spacing w:val="0"/>
          <w:kern w:val="0"/>
          <w:szCs w:val="32"/>
          <w:highlight w:val="none"/>
        </w:rPr>
        <w:t>1. 全市</w:t>
      </w:r>
      <w:r>
        <w:rPr>
          <w:rFonts w:hint="default" w:ascii="Times New Roman" w:hAnsi="Times New Roman" w:eastAsia="仿宋_GB2312" w:cs="Times New Roman"/>
          <w:snapToGrid w:val="0"/>
          <w:color w:val="auto"/>
          <w:spacing w:val="0"/>
          <w:kern w:val="0"/>
          <w:szCs w:val="32"/>
          <w:highlight w:val="none"/>
          <w:lang w:val="en-US" w:eastAsia="zh-CN"/>
        </w:rPr>
        <w:t>各区镇</w:t>
      </w:r>
      <w:r>
        <w:rPr>
          <w:rFonts w:hint="default" w:ascii="Times New Roman" w:hAnsi="Times New Roman" w:eastAsia="仿宋_GB2312" w:cs="Times New Roman"/>
          <w:snapToGrid w:val="0"/>
          <w:color w:val="auto"/>
          <w:spacing w:val="0"/>
          <w:kern w:val="0"/>
          <w:szCs w:val="32"/>
          <w:highlight w:val="none"/>
        </w:rPr>
        <w:t>社区嵌入式服务设施9类功能覆盖情况</w:t>
      </w:r>
      <w:r>
        <w:rPr>
          <w:rFonts w:hint="default" w:ascii="Times New Roman" w:hAnsi="Times New Roman" w:eastAsia="仿宋_GB2312" w:cs="Times New Roman"/>
          <w:snapToGrid w:val="0"/>
          <w:color w:val="auto"/>
          <w:spacing w:val="0"/>
          <w:kern w:val="0"/>
          <w:szCs w:val="32"/>
          <w:highlight w:val="none"/>
          <w:lang w:val="en-US" w:eastAsia="zh-CN"/>
        </w:rPr>
        <w:t>表</w:t>
      </w:r>
    </w:p>
    <w:p w14:paraId="37DF9489">
      <w:pPr>
        <w:keepNext w:val="0"/>
        <w:keepLines w:val="0"/>
        <w:pageBreakBefore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napToGrid w:val="0"/>
          <w:color w:val="auto"/>
          <w:spacing w:val="0"/>
          <w:kern w:val="0"/>
          <w:szCs w:val="32"/>
          <w:highlight w:val="none"/>
          <w:lang w:val="en-US" w:eastAsia="zh-CN"/>
        </w:rPr>
      </w:pPr>
      <w:r>
        <w:rPr>
          <w:rFonts w:hint="default" w:ascii="Times New Roman" w:hAnsi="Times New Roman" w:eastAsia="仿宋_GB2312" w:cs="Times New Roman"/>
          <w:snapToGrid w:val="0"/>
          <w:color w:val="auto"/>
          <w:spacing w:val="0"/>
          <w:kern w:val="0"/>
          <w:szCs w:val="32"/>
          <w:highlight w:val="none"/>
          <w:lang w:val="en-US" w:eastAsia="zh-CN"/>
        </w:rPr>
        <w:t>2. 全市各区镇社区嵌入式服务设施具备功能占比情况表</w:t>
      </w:r>
    </w:p>
    <w:p w14:paraId="7670CC35">
      <w:pPr>
        <w:keepNext w:val="0"/>
        <w:keepLines w:val="0"/>
        <w:pageBreakBefore w:val="0"/>
        <w:numPr>
          <w:ilvl w:val="0"/>
          <w:numId w:val="0"/>
        </w:numPr>
        <w:kinsoku/>
        <w:wordWrap/>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napToGrid w:val="0"/>
          <w:color w:val="auto"/>
          <w:spacing w:val="0"/>
          <w:kern w:val="0"/>
          <w:szCs w:val="32"/>
          <w:highlight w:val="none"/>
        </w:rPr>
      </w:pPr>
      <w:r>
        <w:rPr>
          <w:rFonts w:hint="default" w:ascii="Times New Roman" w:hAnsi="Times New Roman" w:eastAsia="仿宋_GB2312" w:cs="Times New Roman"/>
          <w:snapToGrid w:val="0"/>
          <w:color w:val="auto"/>
          <w:spacing w:val="0"/>
          <w:kern w:val="0"/>
          <w:szCs w:val="32"/>
          <w:highlight w:val="none"/>
          <w:lang w:val="en-US" w:eastAsia="zh-CN"/>
        </w:rPr>
        <w:t xml:space="preserve">3. </w:t>
      </w:r>
      <w:r>
        <w:rPr>
          <w:rFonts w:hint="default" w:ascii="Times New Roman" w:hAnsi="Times New Roman" w:eastAsia="仿宋_GB2312" w:cs="Times New Roman"/>
          <w:snapToGrid w:val="0"/>
          <w:color w:val="auto"/>
          <w:spacing w:val="0"/>
          <w:kern w:val="0"/>
          <w:szCs w:val="32"/>
          <w:highlight w:val="none"/>
        </w:rPr>
        <w:t>2025年社区嵌入式服务设施试点项目清单</w:t>
      </w:r>
    </w:p>
    <w:p w14:paraId="79061F8C">
      <w:pPr>
        <w:tabs>
          <w:tab w:val="center" w:pos="6979"/>
        </w:tabs>
        <w:jc w:val="left"/>
        <w:rPr>
          <w:rFonts w:hint="default" w:ascii="Times New Roman" w:hAnsi="Times New Roman" w:cs="Times New Roman"/>
          <w:color w:val="auto"/>
          <w:highlight w:val="none"/>
        </w:rPr>
      </w:pPr>
    </w:p>
    <w:p w14:paraId="1EFFA268">
      <w:pPr>
        <w:tabs>
          <w:tab w:val="center" w:pos="6979"/>
        </w:tabs>
        <w:jc w:val="left"/>
        <w:rPr>
          <w:rFonts w:hint="default" w:ascii="Times New Roman" w:hAnsi="Times New Roman" w:cs="Times New Roman"/>
          <w:color w:val="auto"/>
          <w:highlight w:val="none"/>
        </w:rPr>
        <w:sectPr>
          <w:footerReference r:id="rId3" w:type="default"/>
          <w:pgSz w:w="11906" w:h="16838"/>
          <w:pgMar w:top="2098" w:right="1474" w:bottom="1417" w:left="1587" w:header="851" w:footer="992" w:gutter="0"/>
          <w:pgNumType w:fmt="decimal"/>
          <w:cols w:space="425" w:num="1"/>
          <w:docGrid w:type="lines" w:linePitch="435" w:charSpace="0"/>
        </w:sectPr>
      </w:pPr>
    </w:p>
    <w:p w14:paraId="19D3B087">
      <w:pPr>
        <w:spacing w:line="700" w:lineRule="exact"/>
        <w:rPr>
          <w:rFonts w:hint="default" w:ascii="Times New Roman" w:hAnsi="Times New Roman" w:eastAsia="黑体" w:cs="Times New Roman"/>
          <w:snapToGrid w:val="0"/>
          <w:color w:val="auto"/>
          <w:kern w:val="0"/>
          <w:szCs w:val="32"/>
          <w:highlight w:val="none"/>
        </w:rPr>
      </w:pPr>
      <w:r>
        <w:rPr>
          <w:rFonts w:hint="default" w:ascii="Times New Roman" w:hAnsi="Times New Roman" w:eastAsia="黑体" w:cs="Times New Roman"/>
          <w:snapToGrid w:val="0"/>
          <w:color w:val="auto"/>
          <w:kern w:val="0"/>
          <w:szCs w:val="32"/>
          <w:highlight w:val="none"/>
        </w:rPr>
        <w:t>附件1</w:t>
      </w:r>
    </w:p>
    <w:p w14:paraId="0C5C2757">
      <w:pPr>
        <w:spacing w:line="700" w:lineRule="exact"/>
        <w:jc w:val="center"/>
        <w:rPr>
          <w:rFonts w:hint="default" w:ascii="Times New Roman" w:hAnsi="Times New Roman" w:eastAsia="黑体" w:cs="Times New Roman"/>
          <w:snapToGrid w:val="0"/>
          <w:color w:val="auto"/>
          <w:kern w:val="0"/>
          <w:szCs w:val="32"/>
          <w:highlight w:val="none"/>
          <w:lang w:val="en-US" w:eastAsia="zh-CN"/>
        </w:rPr>
      </w:pPr>
      <w:r>
        <w:rPr>
          <w:rFonts w:hint="default" w:ascii="Times New Roman" w:hAnsi="Times New Roman" w:eastAsia="黑体" w:cs="Times New Roman"/>
          <w:snapToGrid w:val="0"/>
          <w:color w:val="auto"/>
          <w:kern w:val="0"/>
          <w:szCs w:val="32"/>
          <w:highlight w:val="none"/>
        </w:rPr>
        <w:t>全市</w:t>
      </w:r>
      <w:r>
        <w:rPr>
          <w:rFonts w:hint="default" w:ascii="Times New Roman" w:hAnsi="Times New Roman" w:eastAsia="黑体" w:cs="Times New Roman"/>
          <w:snapToGrid w:val="0"/>
          <w:color w:val="auto"/>
          <w:kern w:val="0"/>
          <w:szCs w:val="32"/>
          <w:highlight w:val="none"/>
          <w:lang w:val="en-US" w:eastAsia="zh-CN"/>
        </w:rPr>
        <w:t>各区镇</w:t>
      </w:r>
      <w:r>
        <w:rPr>
          <w:rFonts w:hint="default" w:ascii="Times New Roman" w:hAnsi="Times New Roman" w:eastAsia="黑体" w:cs="Times New Roman"/>
          <w:snapToGrid w:val="0"/>
          <w:color w:val="auto"/>
          <w:kern w:val="0"/>
          <w:szCs w:val="32"/>
          <w:highlight w:val="none"/>
        </w:rPr>
        <w:t>社区嵌入式服务设施9类功能覆盖情况</w:t>
      </w:r>
      <w:r>
        <w:rPr>
          <w:rFonts w:hint="default" w:ascii="Times New Roman" w:hAnsi="Times New Roman" w:eastAsia="黑体" w:cs="Times New Roman"/>
          <w:snapToGrid w:val="0"/>
          <w:color w:val="auto"/>
          <w:kern w:val="0"/>
          <w:szCs w:val="32"/>
          <w:highlight w:val="none"/>
          <w:lang w:val="en-US" w:eastAsia="zh-CN"/>
        </w:rPr>
        <w:t>表</w:t>
      </w:r>
    </w:p>
    <w:tbl>
      <w:tblPr>
        <w:tblStyle w:val="6"/>
        <w:tblW w:w="15562" w:type="dxa"/>
        <w:jc w:val="center"/>
        <w:tblLayout w:type="fixed"/>
        <w:tblCellMar>
          <w:top w:w="0" w:type="dxa"/>
          <w:left w:w="108" w:type="dxa"/>
          <w:bottom w:w="0" w:type="dxa"/>
          <w:right w:w="108" w:type="dxa"/>
        </w:tblCellMar>
      </w:tblPr>
      <w:tblGrid>
        <w:gridCol w:w="872"/>
        <w:gridCol w:w="841"/>
        <w:gridCol w:w="892"/>
        <w:gridCol w:w="717"/>
        <w:gridCol w:w="866"/>
        <w:gridCol w:w="800"/>
        <w:gridCol w:w="861"/>
        <w:gridCol w:w="839"/>
        <w:gridCol w:w="809"/>
        <w:gridCol w:w="883"/>
        <w:gridCol w:w="892"/>
        <w:gridCol w:w="1091"/>
        <w:gridCol w:w="917"/>
        <w:gridCol w:w="917"/>
        <w:gridCol w:w="791"/>
        <w:gridCol w:w="859"/>
        <w:gridCol w:w="883"/>
        <w:gridCol w:w="832"/>
      </w:tblGrid>
      <w:tr w14:paraId="544B821C">
        <w:tblPrEx>
          <w:tblCellMar>
            <w:top w:w="0" w:type="dxa"/>
            <w:left w:w="108" w:type="dxa"/>
            <w:bottom w:w="0" w:type="dxa"/>
            <w:right w:w="108" w:type="dxa"/>
          </w:tblCellMar>
        </w:tblPrEx>
        <w:trPr>
          <w:trHeight w:val="425" w:hRule="atLeast"/>
          <w:jc w:val="center"/>
        </w:trPr>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D9954">
            <w:pPr>
              <w:widowControl/>
              <w:spacing w:line="240" w:lineRule="exact"/>
              <w:jc w:val="center"/>
              <w:rPr>
                <w:rFonts w:hint="default" w:ascii="Times New Roman" w:hAnsi="Times New Roman" w:eastAsia="宋体" w:cs="Times New Roman"/>
                <w:color w:val="auto"/>
                <w:sz w:val="15"/>
                <w:szCs w:val="15"/>
                <w:highlight w:val="none"/>
              </w:rPr>
            </w:pPr>
            <w:r>
              <w:rPr>
                <w:rFonts w:hint="default" w:ascii="Times New Roman" w:hAnsi="Times New Roman" w:eastAsia="黑体" w:cs="Times New Roman"/>
                <w:color w:val="auto"/>
                <w:sz w:val="15"/>
                <w:szCs w:val="15"/>
                <w:highlight w:val="none"/>
              </w:rPr>
              <w:t>区镇</w:t>
            </w:r>
          </w:p>
        </w:tc>
        <w:tc>
          <w:tcPr>
            <w:tcW w:w="17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5E40D">
            <w:pPr>
              <w:widowControl/>
              <w:spacing w:line="240" w:lineRule="exact"/>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黑体" w:cs="Times New Roman"/>
                <w:color w:val="auto"/>
                <w:kern w:val="0"/>
                <w:sz w:val="15"/>
                <w:szCs w:val="15"/>
                <w:highlight w:val="none"/>
              </w:rPr>
              <w:t>养老服务</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2A90E">
            <w:pPr>
              <w:widowControl/>
              <w:spacing w:line="240" w:lineRule="exact"/>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黑体" w:cs="Times New Roman"/>
                <w:color w:val="auto"/>
                <w:kern w:val="0"/>
                <w:sz w:val="15"/>
                <w:szCs w:val="15"/>
                <w:highlight w:val="none"/>
              </w:rPr>
              <w:t>婴幼儿托育</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98232">
            <w:pPr>
              <w:widowControl/>
              <w:spacing w:line="240" w:lineRule="exact"/>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黑体" w:cs="Times New Roman"/>
                <w:color w:val="auto"/>
                <w:kern w:val="0"/>
                <w:sz w:val="15"/>
                <w:szCs w:val="15"/>
                <w:highlight w:val="none"/>
              </w:rPr>
              <w:t>儿童托管</w:t>
            </w:r>
          </w:p>
        </w:tc>
        <w:tc>
          <w:tcPr>
            <w:tcW w:w="16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913D7">
            <w:pPr>
              <w:widowControl/>
              <w:spacing w:line="240" w:lineRule="exact"/>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黑体" w:cs="Times New Roman"/>
                <w:color w:val="auto"/>
                <w:kern w:val="0"/>
                <w:sz w:val="15"/>
                <w:szCs w:val="15"/>
                <w:highlight w:val="none"/>
              </w:rPr>
              <w:t>社区助餐</w:t>
            </w: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06F07">
            <w:pPr>
              <w:widowControl/>
              <w:spacing w:line="240" w:lineRule="exact"/>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黑体" w:cs="Times New Roman"/>
                <w:color w:val="auto"/>
                <w:kern w:val="0"/>
                <w:sz w:val="15"/>
                <w:szCs w:val="15"/>
                <w:highlight w:val="none"/>
              </w:rPr>
              <w:t>家政便民</w:t>
            </w:r>
          </w:p>
        </w:tc>
        <w:tc>
          <w:tcPr>
            <w:tcW w:w="28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FBAB9">
            <w:pPr>
              <w:widowControl/>
              <w:spacing w:line="240" w:lineRule="exact"/>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黑体" w:cs="Times New Roman"/>
                <w:color w:val="auto"/>
                <w:kern w:val="0"/>
                <w:sz w:val="15"/>
                <w:szCs w:val="15"/>
                <w:highlight w:val="none"/>
              </w:rPr>
              <w:t>健康服务</w:t>
            </w: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62176">
            <w:pPr>
              <w:widowControl/>
              <w:spacing w:line="240" w:lineRule="exact"/>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黑体" w:cs="Times New Roman"/>
                <w:color w:val="auto"/>
                <w:kern w:val="0"/>
                <w:sz w:val="15"/>
                <w:szCs w:val="15"/>
                <w:highlight w:val="none"/>
              </w:rPr>
              <w:t>体育健身</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C013">
            <w:pPr>
              <w:widowControl/>
              <w:spacing w:line="240" w:lineRule="exact"/>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黑体" w:cs="Times New Roman"/>
                <w:color w:val="auto"/>
                <w:kern w:val="0"/>
                <w:sz w:val="15"/>
                <w:szCs w:val="15"/>
                <w:highlight w:val="none"/>
              </w:rPr>
              <w:t>文化休闲</w:t>
            </w:r>
          </w:p>
        </w:tc>
        <w:tc>
          <w:tcPr>
            <w:tcW w:w="17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69BDA">
            <w:pPr>
              <w:widowControl/>
              <w:spacing w:line="240" w:lineRule="exact"/>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黑体" w:cs="Times New Roman"/>
                <w:color w:val="auto"/>
                <w:kern w:val="0"/>
                <w:sz w:val="15"/>
                <w:szCs w:val="15"/>
                <w:highlight w:val="none"/>
              </w:rPr>
              <w:t>儿童游憩</w:t>
            </w:r>
          </w:p>
        </w:tc>
      </w:tr>
      <w:tr w14:paraId="3630B7E9">
        <w:tblPrEx>
          <w:tblCellMar>
            <w:top w:w="0" w:type="dxa"/>
            <w:left w:w="108" w:type="dxa"/>
            <w:bottom w:w="0" w:type="dxa"/>
            <w:right w:w="108" w:type="dxa"/>
          </w:tblCellMar>
        </w:tblPrEx>
        <w:trPr>
          <w:trHeight w:val="483" w:hRule="atLeast"/>
          <w:jc w:val="center"/>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8667C">
            <w:pPr>
              <w:widowControl/>
              <w:spacing w:line="240" w:lineRule="exact"/>
              <w:jc w:val="center"/>
              <w:rPr>
                <w:rFonts w:hint="default" w:ascii="Times New Roman" w:hAnsi="Times New Roman" w:eastAsia="宋体" w:cs="Times New Roman"/>
                <w:color w:val="auto"/>
                <w:sz w:val="15"/>
                <w:szCs w:val="15"/>
                <w:highlight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5DEC">
            <w:pPr>
              <w:widowControl/>
              <w:spacing w:line="240" w:lineRule="exact"/>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黑体" w:cs="Times New Roman"/>
                <w:color w:val="auto"/>
                <w:kern w:val="0"/>
                <w:sz w:val="15"/>
                <w:szCs w:val="15"/>
                <w:highlight w:val="none"/>
              </w:rPr>
              <w:t>生活照护</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5F5FB">
            <w:pPr>
              <w:widowControl/>
              <w:spacing w:line="240" w:lineRule="exact"/>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黑体" w:cs="Times New Roman"/>
                <w:color w:val="auto"/>
                <w:kern w:val="0"/>
                <w:sz w:val="15"/>
                <w:szCs w:val="15"/>
                <w:highlight w:val="none"/>
              </w:rPr>
              <w:t>康复服务</w:t>
            </w: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1E7B5">
            <w:pPr>
              <w:widowControl/>
              <w:spacing w:line="240" w:lineRule="exact"/>
              <w:jc w:val="center"/>
              <w:rPr>
                <w:rFonts w:hint="default" w:ascii="Times New Roman" w:hAnsi="Times New Roman" w:eastAsia="宋体" w:cs="Times New Roman"/>
                <w:color w:val="auto"/>
                <w:sz w:val="15"/>
                <w:szCs w:val="15"/>
                <w:highlight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4CA88">
            <w:pPr>
              <w:widowControl/>
              <w:spacing w:line="240" w:lineRule="exact"/>
              <w:jc w:val="center"/>
              <w:rPr>
                <w:rFonts w:hint="default" w:ascii="Times New Roman" w:hAnsi="Times New Roman" w:eastAsia="宋体" w:cs="Times New Roman"/>
                <w:color w:val="auto"/>
                <w:sz w:val="15"/>
                <w:szCs w:val="15"/>
                <w:highlight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294F">
            <w:pPr>
              <w:widowControl/>
              <w:spacing w:line="240" w:lineRule="exact"/>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黑体" w:cs="Times New Roman"/>
                <w:color w:val="auto"/>
                <w:kern w:val="0"/>
                <w:sz w:val="15"/>
                <w:szCs w:val="15"/>
                <w:highlight w:val="none"/>
              </w:rPr>
              <w:t>膳食助餐</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378AC">
            <w:pPr>
              <w:widowControl/>
              <w:spacing w:line="240" w:lineRule="exact"/>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黑体" w:cs="Times New Roman"/>
                <w:color w:val="auto"/>
                <w:kern w:val="0"/>
                <w:sz w:val="15"/>
                <w:szCs w:val="15"/>
                <w:highlight w:val="none"/>
              </w:rPr>
              <w:t>上门送餐</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337B">
            <w:pPr>
              <w:widowControl/>
              <w:spacing w:line="240" w:lineRule="exact"/>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黑体" w:cs="Times New Roman"/>
                <w:color w:val="auto"/>
                <w:kern w:val="0"/>
                <w:sz w:val="15"/>
                <w:szCs w:val="15"/>
                <w:highlight w:val="none"/>
              </w:rPr>
              <w:t>家政服务</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6B2C">
            <w:pPr>
              <w:widowControl/>
              <w:spacing w:line="240" w:lineRule="exact"/>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黑体" w:cs="Times New Roman"/>
                <w:color w:val="auto"/>
                <w:kern w:val="0"/>
                <w:sz w:val="15"/>
                <w:szCs w:val="15"/>
                <w:highlight w:val="none"/>
              </w:rPr>
              <w:t>便民服务</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D7F1">
            <w:pPr>
              <w:widowControl/>
              <w:spacing w:line="240" w:lineRule="exact"/>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黑体" w:cs="Times New Roman"/>
                <w:color w:val="auto"/>
                <w:kern w:val="0"/>
                <w:sz w:val="15"/>
                <w:szCs w:val="15"/>
                <w:highlight w:val="none"/>
              </w:rPr>
              <w:t>健康诊疗</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259AD">
            <w:pPr>
              <w:widowControl/>
              <w:spacing w:line="240" w:lineRule="exact"/>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黑体" w:cs="Times New Roman"/>
                <w:color w:val="auto"/>
                <w:kern w:val="0"/>
                <w:sz w:val="15"/>
                <w:szCs w:val="15"/>
                <w:highlight w:val="none"/>
              </w:rPr>
              <w:t>助残服务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5CE7">
            <w:pPr>
              <w:widowControl/>
              <w:spacing w:line="240" w:lineRule="exact"/>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黑体" w:cs="Times New Roman"/>
                <w:color w:val="auto"/>
                <w:kern w:val="0"/>
                <w:sz w:val="15"/>
                <w:szCs w:val="15"/>
                <w:highlight w:val="none"/>
              </w:rPr>
              <w:t>康复辅具适配与租赁服务</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AB8E">
            <w:pPr>
              <w:widowControl/>
              <w:spacing w:line="240" w:lineRule="exact"/>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黑体" w:cs="Times New Roman"/>
                <w:color w:val="auto"/>
                <w:kern w:val="0"/>
                <w:sz w:val="15"/>
                <w:szCs w:val="15"/>
                <w:highlight w:val="none"/>
              </w:rPr>
              <w:t>室内体育健身</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6B1B">
            <w:pPr>
              <w:widowControl/>
              <w:spacing w:line="240" w:lineRule="exact"/>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黑体" w:cs="Times New Roman"/>
                <w:color w:val="auto"/>
                <w:kern w:val="0"/>
                <w:sz w:val="15"/>
                <w:szCs w:val="15"/>
                <w:highlight w:val="none"/>
              </w:rPr>
              <w:t>室外体育健身</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F6F1">
            <w:pPr>
              <w:widowControl/>
              <w:spacing w:line="240" w:lineRule="exact"/>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黑体" w:cs="Times New Roman"/>
                <w:color w:val="auto"/>
                <w:kern w:val="0"/>
                <w:sz w:val="15"/>
                <w:szCs w:val="15"/>
                <w:highlight w:val="none"/>
              </w:rPr>
              <w:t>书报阅览</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58D6D">
            <w:pPr>
              <w:widowControl/>
              <w:spacing w:line="240" w:lineRule="exact"/>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黑体" w:cs="Times New Roman"/>
                <w:color w:val="auto"/>
                <w:kern w:val="0"/>
                <w:sz w:val="15"/>
                <w:szCs w:val="15"/>
                <w:highlight w:val="none"/>
              </w:rPr>
              <w:t>文化娱乐</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CA82">
            <w:pPr>
              <w:widowControl/>
              <w:spacing w:line="240" w:lineRule="exact"/>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黑体" w:cs="Times New Roman"/>
                <w:color w:val="auto"/>
                <w:kern w:val="0"/>
                <w:sz w:val="15"/>
                <w:szCs w:val="15"/>
                <w:highlight w:val="none"/>
              </w:rPr>
              <w:t>儿童室外活动</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9FEE1">
            <w:pPr>
              <w:widowControl/>
              <w:spacing w:line="240" w:lineRule="exact"/>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黑体" w:cs="Times New Roman"/>
                <w:color w:val="auto"/>
                <w:kern w:val="0"/>
                <w:sz w:val="15"/>
                <w:szCs w:val="15"/>
                <w:highlight w:val="none"/>
              </w:rPr>
              <w:t>儿童室内活动</w:t>
            </w:r>
          </w:p>
        </w:tc>
      </w:tr>
      <w:tr w14:paraId="51EBDF21">
        <w:tblPrEx>
          <w:tblCellMar>
            <w:top w:w="0" w:type="dxa"/>
            <w:left w:w="108" w:type="dxa"/>
            <w:bottom w:w="0" w:type="dxa"/>
            <w:right w:w="108" w:type="dxa"/>
          </w:tblCellMar>
        </w:tblPrEx>
        <w:trPr>
          <w:trHeight w:val="280" w:hRule="atLeast"/>
          <w:jc w:val="center"/>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2E4FA">
            <w:pPr>
              <w:widowControl/>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color w:val="auto"/>
                <w:kern w:val="0"/>
                <w:sz w:val="15"/>
                <w:szCs w:val="15"/>
                <w:highlight w:val="none"/>
              </w:rPr>
              <w:t>全市</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1DFD2">
            <w:pPr>
              <w:widowControl/>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color w:val="auto"/>
                <w:kern w:val="0"/>
                <w:sz w:val="15"/>
                <w:szCs w:val="15"/>
                <w:highlight w:val="none"/>
              </w:rPr>
              <w:t>36.3%</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3391">
            <w:pPr>
              <w:widowControl/>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color w:val="auto"/>
                <w:kern w:val="0"/>
                <w:sz w:val="15"/>
                <w:szCs w:val="15"/>
                <w:highlight w:val="none"/>
              </w:rPr>
              <w:t>1.6%</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72EB1">
            <w:pPr>
              <w:widowControl/>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color w:val="auto"/>
                <w:kern w:val="0"/>
                <w:sz w:val="15"/>
                <w:szCs w:val="15"/>
                <w:highlight w:val="none"/>
              </w:rPr>
              <w:t>4.8%</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F2932">
            <w:pPr>
              <w:widowControl/>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color w:val="auto"/>
                <w:kern w:val="0"/>
                <w:sz w:val="15"/>
                <w:szCs w:val="15"/>
                <w:highlight w:val="none"/>
              </w:rPr>
              <w:t>7.7%</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84F0">
            <w:pPr>
              <w:widowControl/>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color w:val="auto"/>
                <w:kern w:val="0"/>
                <w:sz w:val="15"/>
                <w:szCs w:val="15"/>
                <w:highlight w:val="none"/>
              </w:rPr>
              <w:t>42.3%</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42171">
            <w:pPr>
              <w:widowControl/>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color w:val="auto"/>
                <w:kern w:val="0"/>
                <w:sz w:val="15"/>
                <w:szCs w:val="15"/>
                <w:highlight w:val="none"/>
              </w:rPr>
              <w:t>42.3%</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4C38">
            <w:pPr>
              <w:widowControl/>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color w:val="auto"/>
                <w:kern w:val="0"/>
                <w:sz w:val="15"/>
                <w:szCs w:val="15"/>
                <w:highlight w:val="none"/>
              </w:rPr>
              <w:t>15.7%</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710D">
            <w:pPr>
              <w:widowControl/>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color w:val="auto"/>
                <w:kern w:val="0"/>
                <w:sz w:val="15"/>
                <w:szCs w:val="15"/>
                <w:highlight w:val="none"/>
              </w:rPr>
              <w:t>77.0%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BAE2">
            <w:pPr>
              <w:widowControl/>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color w:val="auto"/>
                <w:kern w:val="0"/>
                <w:sz w:val="15"/>
                <w:szCs w:val="15"/>
                <w:highlight w:val="none"/>
              </w:rPr>
              <w:t>63.3%</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5729">
            <w:pPr>
              <w:widowControl/>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color w:val="auto"/>
                <w:kern w:val="0"/>
                <w:sz w:val="15"/>
                <w:szCs w:val="15"/>
                <w:highlight w:val="none"/>
              </w:rPr>
              <w:t>62.1%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B6ED">
            <w:pPr>
              <w:widowControl/>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color w:val="auto"/>
                <w:kern w:val="0"/>
                <w:sz w:val="15"/>
                <w:szCs w:val="15"/>
                <w:highlight w:val="none"/>
              </w:rPr>
              <w:t>48.4%</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80614">
            <w:pPr>
              <w:widowControl/>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color w:val="auto"/>
                <w:kern w:val="0"/>
                <w:sz w:val="15"/>
                <w:szCs w:val="15"/>
                <w:highlight w:val="none"/>
              </w:rPr>
              <w:t>62.9%</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7CBD">
            <w:pPr>
              <w:widowControl/>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color w:val="auto"/>
                <w:kern w:val="0"/>
                <w:sz w:val="15"/>
                <w:szCs w:val="15"/>
                <w:highlight w:val="none"/>
              </w:rPr>
              <w:t>88.3%</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B6E2">
            <w:pPr>
              <w:widowControl/>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color w:val="auto"/>
                <w:kern w:val="0"/>
                <w:sz w:val="15"/>
                <w:szCs w:val="15"/>
                <w:highlight w:val="none"/>
              </w:rPr>
              <w:t>97.6%</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FD52F">
            <w:pPr>
              <w:widowControl/>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color w:val="auto"/>
                <w:kern w:val="0"/>
                <w:sz w:val="15"/>
                <w:szCs w:val="15"/>
                <w:highlight w:val="none"/>
              </w:rPr>
              <w:t>86.3%</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6E1DC">
            <w:pPr>
              <w:widowControl/>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color w:val="auto"/>
                <w:kern w:val="0"/>
                <w:sz w:val="15"/>
                <w:szCs w:val="15"/>
                <w:highlight w:val="none"/>
              </w:rPr>
              <w:t>75.4%</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FFF8C">
            <w:pPr>
              <w:widowControl/>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color w:val="auto"/>
                <w:kern w:val="0"/>
                <w:sz w:val="15"/>
                <w:szCs w:val="15"/>
                <w:highlight w:val="none"/>
              </w:rPr>
              <w:t>80.2%</w:t>
            </w:r>
          </w:p>
        </w:tc>
      </w:tr>
      <w:tr w14:paraId="09F2D52B">
        <w:tblPrEx>
          <w:tblCellMar>
            <w:top w:w="0" w:type="dxa"/>
            <w:left w:w="108" w:type="dxa"/>
            <w:bottom w:w="0" w:type="dxa"/>
            <w:right w:w="108" w:type="dxa"/>
          </w:tblCellMar>
        </w:tblPrEx>
        <w:trPr>
          <w:trHeight w:val="280" w:hRule="atLeast"/>
          <w:jc w:val="center"/>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F4E04">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开发区</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86705">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58.3%</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9777A">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1.7%</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CD9A5">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5.0%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3EF93">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3.3%</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72E49">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50.0%</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A4FB7">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56.7%</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26A78">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3.3%</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C90A2">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80.0%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45B06">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73.3%</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050FE">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78.3%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66CE5">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50.0%</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9CF41">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63.3%</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06CA7">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90.0%</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C1459">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95.0%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2B975">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93.3%</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D944F">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68.3%</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89DDE">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78.3%</w:t>
            </w:r>
          </w:p>
        </w:tc>
      </w:tr>
      <w:tr w14:paraId="07360D31">
        <w:tblPrEx>
          <w:tblCellMar>
            <w:top w:w="0" w:type="dxa"/>
            <w:left w:w="108" w:type="dxa"/>
            <w:bottom w:w="0" w:type="dxa"/>
            <w:right w:w="108" w:type="dxa"/>
          </w:tblCellMar>
        </w:tblPrEx>
        <w:trPr>
          <w:trHeight w:val="280" w:hRule="atLeast"/>
          <w:jc w:val="center"/>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5151B">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高新区</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54835">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2.7%</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F87EC">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1.4%</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69562">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2.7%</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68592">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2.7%</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9CABE">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32.4%</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82ACA">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9.5%</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404D0">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1.4%</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938BB">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45.9%</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96A27">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21.6%</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42EEB">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25.7%</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81E7B">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12.2%</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87677">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40.5%</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D864F">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85.1%</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09CA5">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100.0%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5E433">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73.0%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23183">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75.7%</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E8D25">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77.0%</w:t>
            </w:r>
          </w:p>
        </w:tc>
      </w:tr>
      <w:tr w14:paraId="56F4DED2">
        <w:tblPrEx>
          <w:tblCellMar>
            <w:top w:w="0" w:type="dxa"/>
            <w:left w:w="108" w:type="dxa"/>
            <w:bottom w:w="0" w:type="dxa"/>
            <w:right w:w="108" w:type="dxa"/>
          </w:tblCellMar>
        </w:tblPrEx>
        <w:trPr>
          <w:trHeight w:val="280" w:hRule="atLeast"/>
          <w:jc w:val="center"/>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3CF96">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花桥</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FA7E2">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63.2%</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823E5">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22D4A">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5.3%</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B97C2">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0.0%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6F942">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63.2%</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236F8">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47.4%</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55197">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5.3%</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AD5EC">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89.5%</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503D6">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94.7%</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F08A8">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94.7%</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20494">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94.7%</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A40CE">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100.0%</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33A6E">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84.2%</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8BB59">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100.0%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3054F">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100.0%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7189D">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84.2%</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E9D6D">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100.0%</w:t>
            </w:r>
          </w:p>
        </w:tc>
      </w:tr>
      <w:tr w14:paraId="31B6AB3F">
        <w:tblPrEx>
          <w:tblCellMar>
            <w:top w:w="0" w:type="dxa"/>
            <w:left w:w="108" w:type="dxa"/>
            <w:bottom w:w="0" w:type="dxa"/>
            <w:right w:w="108" w:type="dxa"/>
          </w:tblCellMar>
        </w:tblPrEx>
        <w:trPr>
          <w:trHeight w:val="280" w:hRule="atLeast"/>
          <w:jc w:val="center"/>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3C08C">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张浦镇</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B99D6">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57.1%</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4237B">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7.1%</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27B00">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14.3%</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7D9C4">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14.3%</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73A39">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57.1%</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4F0BF">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57.1%</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2DB76">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28.6%</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14172">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85.7%</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211A3">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71.4%</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91CCD">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85.7%</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0D165">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35.7%</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5D9A2">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57.1%</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35FCA">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78.6%</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B1237">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78.6%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D7051">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78.6%</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9CBF6">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50.0%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6D58C">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78.6%</w:t>
            </w:r>
          </w:p>
        </w:tc>
      </w:tr>
      <w:tr w14:paraId="52E5CCB4">
        <w:tblPrEx>
          <w:tblCellMar>
            <w:top w:w="0" w:type="dxa"/>
            <w:left w:w="108" w:type="dxa"/>
            <w:bottom w:w="0" w:type="dxa"/>
            <w:right w:w="108" w:type="dxa"/>
          </w:tblCellMar>
        </w:tblPrEx>
        <w:trPr>
          <w:trHeight w:val="280" w:hRule="atLeast"/>
          <w:jc w:val="center"/>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93A9E">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周市镇</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34569">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11.5%</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ECAF9">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D2B84">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3.8%</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FAD88">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0.0%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28E4F">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23.1%</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F7E1C">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23.1%</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801C2">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11.5%</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3C851">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100.0%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3B1D9">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100.0%</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EA436">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100.0%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6CC59">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100.0%</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36731">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84.6%</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2FBFF">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100.0%</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CF6C9">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100.0%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E49C2">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100.0%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A800D">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88.5%</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8941D">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80.8%</w:t>
            </w:r>
          </w:p>
        </w:tc>
      </w:tr>
      <w:tr w14:paraId="3DF55D8A">
        <w:tblPrEx>
          <w:tblCellMar>
            <w:top w:w="0" w:type="dxa"/>
            <w:left w:w="108" w:type="dxa"/>
            <w:bottom w:w="0" w:type="dxa"/>
            <w:right w:w="108" w:type="dxa"/>
          </w:tblCellMar>
        </w:tblPrEx>
        <w:trPr>
          <w:trHeight w:val="280" w:hRule="atLeast"/>
          <w:jc w:val="center"/>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2DC0B">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陆家镇</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86630">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100.0%</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BCA9E">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E293A">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11.1%</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A7460">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100.0%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D6143">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0.0%</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0EB65">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88.9%</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A4509">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100.0%</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55676">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100.0%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725CA">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100.0%</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8CB46">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100.0%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47320">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100.0%</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3EAB0">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100.0%</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2BA82">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100.0%</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684B8">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100.0%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F198E">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100.0%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A1200">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100.0%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EE4D8">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100.0%</w:t>
            </w:r>
          </w:p>
        </w:tc>
      </w:tr>
      <w:tr w14:paraId="7F97F48F">
        <w:tblPrEx>
          <w:tblCellMar>
            <w:top w:w="0" w:type="dxa"/>
            <w:left w:w="108" w:type="dxa"/>
            <w:bottom w:w="0" w:type="dxa"/>
            <w:right w:w="108" w:type="dxa"/>
          </w:tblCellMar>
        </w:tblPrEx>
        <w:trPr>
          <w:trHeight w:val="280" w:hRule="atLeast"/>
          <w:jc w:val="center"/>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4BA4E">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巴城镇</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C7AD9">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31.6%</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AFD45">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5.3%</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FA515">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5.3%</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85930">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5.3%</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A1B41">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68.4%</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A6BE4">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68.4%</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07633">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15.8%</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98441">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100.0%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E30A4">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52.6%</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D7B41">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21.1%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01863">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42.1%</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C9B5F">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52.6%</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01FBE">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68.4%</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762C5">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100.0%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4020D">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68.4%</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8343C">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52.6%</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DE9A0">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47.4%</w:t>
            </w:r>
          </w:p>
        </w:tc>
      </w:tr>
      <w:tr w14:paraId="2EA08432">
        <w:tblPrEx>
          <w:tblCellMar>
            <w:top w:w="0" w:type="dxa"/>
            <w:left w:w="108" w:type="dxa"/>
            <w:bottom w:w="0" w:type="dxa"/>
            <w:right w:w="108" w:type="dxa"/>
          </w:tblCellMar>
        </w:tblPrEx>
        <w:trPr>
          <w:trHeight w:val="280" w:hRule="atLeast"/>
          <w:jc w:val="center"/>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F557A">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千灯镇</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2073D">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41.7%</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3DA76">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DB132">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8.3%</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F0C5C">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0.0%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F26AC">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50.0%</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EB482">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75.0%</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2FD62">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100.0%</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10749">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100.0%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BF75D">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83.3%</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54024">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50.0%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A0DE4">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50.0%</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98781">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66.7%</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30132">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100.0%</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0E4A5">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100.0%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49002">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100.0%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79EDD">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100.0%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07EC6">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100.0%</w:t>
            </w:r>
          </w:p>
        </w:tc>
      </w:tr>
      <w:tr w14:paraId="689C3767">
        <w:tblPrEx>
          <w:tblCellMar>
            <w:top w:w="0" w:type="dxa"/>
            <w:left w:w="108" w:type="dxa"/>
            <w:bottom w:w="0" w:type="dxa"/>
            <w:right w:w="108" w:type="dxa"/>
          </w:tblCellMar>
        </w:tblPrEx>
        <w:trPr>
          <w:trHeight w:val="280" w:hRule="atLeast"/>
          <w:jc w:val="center"/>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9485D">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淀山湖镇</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C551C">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77.8%</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05C5A">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4856E">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0.0%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47B40">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33.3%</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FB786">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22.2%</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2246F">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66.7%</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93A41">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22.2%</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B0005">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100.0%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DCD20">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100.0%</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4924F">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88.9%</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039D7">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66.7%</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E0599">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77.8%</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A775A">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100.0%</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3D7FD">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100.0%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8A11F">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100.0%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03F1D">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100.0%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4E45A">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100.0%</w:t>
            </w:r>
          </w:p>
        </w:tc>
      </w:tr>
      <w:tr w14:paraId="13EEFC61">
        <w:tblPrEx>
          <w:tblCellMar>
            <w:top w:w="0" w:type="dxa"/>
            <w:left w:w="108" w:type="dxa"/>
            <w:bottom w:w="0" w:type="dxa"/>
            <w:right w:w="108" w:type="dxa"/>
          </w:tblCellMar>
        </w:tblPrEx>
        <w:trPr>
          <w:trHeight w:val="280" w:hRule="atLeast"/>
          <w:jc w:val="center"/>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AC62F">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锦溪镇</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B9A10">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66.7%</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80552">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5644A">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0.0%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6D14D">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0.0%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47863">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66.7%</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95094">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100.0%</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03F56">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66.7%</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3859B">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66.7%</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BBC8E">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66.7%</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ACDDE">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66.7%</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2B8B7">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0.0%</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C57EB">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66.7%</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93670">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100.0%</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3F211">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100.0%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115D4">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66.7%</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B023C">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66.7%</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C5AF7">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66.7%</w:t>
            </w:r>
          </w:p>
        </w:tc>
      </w:tr>
      <w:tr w14:paraId="1622D38B">
        <w:tblPrEx>
          <w:tblCellMar>
            <w:top w:w="0" w:type="dxa"/>
            <w:left w:w="108" w:type="dxa"/>
            <w:bottom w:w="0" w:type="dxa"/>
            <w:right w:w="108" w:type="dxa"/>
          </w:tblCellMar>
        </w:tblPrEx>
        <w:trPr>
          <w:trHeight w:val="280" w:hRule="atLeast"/>
          <w:jc w:val="center"/>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A062B">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周庄镇</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C8431">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33.3%</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A846F">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CE591">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0.0%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C93CA">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0.0%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21BBF">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66.7%</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B3DF7">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66.7%</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EF5FA">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0.0%</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021EB">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100.0%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492A9">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100.0%</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6FA15">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100.0%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01F95">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100.0%</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D95DC">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100.0%</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90CE6">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100.0%</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27A8F">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100.0%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43474">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100.0%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C2EFF">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66.7%</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C6319">
            <w:pPr>
              <w:widowControl/>
              <w:jc w:val="center"/>
              <w:textAlignment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rPr>
              <w:t>100.0%</w:t>
            </w:r>
          </w:p>
        </w:tc>
      </w:tr>
    </w:tbl>
    <w:p w14:paraId="23EAD3AB">
      <w:pPr>
        <w:spacing w:line="700" w:lineRule="exact"/>
        <w:rPr>
          <w:rFonts w:hint="default" w:ascii="Times New Roman" w:hAnsi="Times New Roman" w:eastAsia="黑体" w:cs="Times New Roman"/>
          <w:snapToGrid w:val="0"/>
          <w:color w:val="auto"/>
          <w:kern w:val="0"/>
          <w:szCs w:val="32"/>
          <w:highlight w:val="none"/>
        </w:rPr>
        <w:sectPr>
          <w:pgSz w:w="16838" w:h="11906" w:orient="landscape"/>
          <w:pgMar w:top="1800" w:right="1440" w:bottom="1800" w:left="1440" w:header="851" w:footer="992" w:gutter="0"/>
          <w:pgNumType w:fmt="decimal"/>
          <w:cols w:space="425" w:num="1"/>
          <w:docGrid w:type="lines" w:linePitch="435" w:charSpace="0"/>
        </w:sectPr>
      </w:pPr>
    </w:p>
    <w:p w14:paraId="7077442B">
      <w:pPr>
        <w:spacing w:afterLines="50" w:line="600" w:lineRule="exact"/>
        <w:jc w:val="left"/>
        <w:rPr>
          <w:rFonts w:hint="default" w:ascii="Times New Roman" w:hAnsi="Times New Roman" w:eastAsia="黑体" w:cs="Times New Roman"/>
          <w:snapToGrid w:val="0"/>
          <w:color w:val="auto"/>
          <w:kern w:val="0"/>
          <w:szCs w:val="32"/>
          <w:highlight w:val="none"/>
        </w:rPr>
      </w:pPr>
      <w:r>
        <w:rPr>
          <w:rFonts w:hint="default" w:ascii="Times New Roman" w:hAnsi="Times New Roman" w:eastAsia="黑体" w:cs="Times New Roman"/>
          <w:snapToGrid w:val="0"/>
          <w:color w:val="auto"/>
          <w:kern w:val="0"/>
          <w:szCs w:val="32"/>
          <w:highlight w:val="none"/>
        </w:rPr>
        <w:t>附件2</w:t>
      </w:r>
    </w:p>
    <w:p w14:paraId="00CB8AAE">
      <w:pPr>
        <w:spacing w:afterLines="50" w:line="600" w:lineRule="exact"/>
        <w:jc w:val="center"/>
        <w:rPr>
          <w:rFonts w:hint="default" w:ascii="Times New Roman" w:hAnsi="Times New Roman" w:eastAsia="黑体" w:cs="Times New Roman"/>
          <w:snapToGrid w:val="0"/>
          <w:color w:val="auto"/>
          <w:kern w:val="0"/>
          <w:szCs w:val="32"/>
          <w:highlight w:val="none"/>
          <w:lang w:val="en-US" w:eastAsia="zh-CN"/>
        </w:rPr>
      </w:pPr>
      <w:r>
        <w:rPr>
          <w:rFonts w:hint="default" w:ascii="Times New Roman" w:hAnsi="Times New Roman" w:eastAsia="黑体" w:cs="Times New Roman"/>
          <w:snapToGrid w:val="0"/>
          <w:color w:val="auto"/>
          <w:kern w:val="0"/>
          <w:szCs w:val="32"/>
          <w:highlight w:val="none"/>
        </w:rPr>
        <w:t>全市</w:t>
      </w:r>
      <w:r>
        <w:rPr>
          <w:rFonts w:hint="default" w:ascii="Times New Roman" w:hAnsi="Times New Roman" w:eastAsia="黑体" w:cs="Times New Roman"/>
          <w:snapToGrid w:val="0"/>
          <w:color w:val="auto"/>
          <w:kern w:val="0"/>
          <w:szCs w:val="32"/>
          <w:highlight w:val="none"/>
          <w:lang w:val="en-US" w:eastAsia="zh-CN"/>
        </w:rPr>
        <w:t>各区镇</w:t>
      </w:r>
      <w:r>
        <w:rPr>
          <w:rFonts w:hint="default" w:ascii="Times New Roman" w:hAnsi="Times New Roman" w:eastAsia="黑体" w:cs="Times New Roman"/>
          <w:snapToGrid w:val="0"/>
          <w:color w:val="auto"/>
          <w:kern w:val="0"/>
          <w:szCs w:val="32"/>
          <w:highlight w:val="none"/>
        </w:rPr>
        <w:t>社区嵌入式服务设施具备功能</w:t>
      </w:r>
      <w:r>
        <w:rPr>
          <w:rFonts w:hint="default" w:ascii="Times New Roman" w:hAnsi="Times New Roman" w:eastAsia="黑体" w:cs="Times New Roman"/>
          <w:snapToGrid w:val="0"/>
          <w:color w:val="auto"/>
          <w:kern w:val="0"/>
          <w:szCs w:val="32"/>
          <w:highlight w:val="none"/>
          <w:lang w:val="en-US" w:eastAsia="zh-CN"/>
        </w:rPr>
        <w:t>占比</w:t>
      </w:r>
      <w:r>
        <w:rPr>
          <w:rFonts w:hint="default" w:ascii="Times New Roman" w:hAnsi="Times New Roman" w:eastAsia="黑体" w:cs="Times New Roman"/>
          <w:snapToGrid w:val="0"/>
          <w:color w:val="auto"/>
          <w:kern w:val="0"/>
          <w:szCs w:val="32"/>
          <w:highlight w:val="none"/>
        </w:rPr>
        <w:t>情况</w:t>
      </w:r>
      <w:r>
        <w:rPr>
          <w:rFonts w:hint="default" w:ascii="Times New Roman" w:hAnsi="Times New Roman" w:eastAsia="黑体" w:cs="Times New Roman"/>
          <w:snapToGrid w:val="0"/>
          <w:color w:val="auto"/>
          <w:kern w:val="0"/>
          <w:szCs w:val="32"/>
          <w:highlight w:val="none"/>
          <w:lang w:val="en-US" w:eastAsia="zh-CN"/>
        </w:rPr>
        <w:t>表</w:t>
      </w:r>
    </w:p>
    <w:tbl>
      <w:tblPr>
        <w:tblStyle w:val="6"/>
        <w:tblW w:w="0" w:type="auto"/>
        <w:jc w:val="center"/>
        <w:tblLayout w:type="autofit"/>
        <w:tblCellMar>
          <w:top w:w="0" w:type="dxa"/>
          <w:left w:w="108" w:type="dxa"/>
          <w:bottom w:w="0" w:type="dxa"/>
          <w:right w:w="108" w:type="dxa"/>
        </w:tblCellMar>
      </w:tblPr>
      <w:tblGrid>
        <w:gridCol w:w="1276"/>
        <w:gridCol w:w="1064"/>
        <w:gridCol w:w="672"/>
        <w:gridCol w:w="1020"/>
        <w:gridCol w:w="666"/>
        <w:gridCol w:w="1021"/>
        <w:gridCol w:w="666"/>
        <w:gridCol w:w="1021"/>
        <w:gridCol w:w="666"/>
        <w:gridCol w:w="1021"/>
        <w:gridCol w:w="666"/>
        <w:gridCol w:w="1021"/>
        <w:gridCol w:w="666"/>
        <w:gridCol w:w="910"/>
        <w:gridCol w:w="666"/>
        <w:gridCol w:w="799"/>
      </w:tblGrid>
      <w:tr w14:paraId="33C16CE8">
        <w:tblPrEx>
          <w:tblCellMar>
            <w:top w:w="0" w:type="dxa"/>
            <w:left w:w="108" w:type="dxa"/>
            <w:bottom w:w="0" w:type="dxa"/>
            <w:right w:w="108" w:type="dxa"/>
          </w:tblCellMar>
        </w:tblPrEx>
        <w:trPr>
          <w:trHeight w:val="454" w:hRule="atLeast"/>
          <w:jc w:val="center"/>
        </w:trPr>
        <w:tc>
          <w:tcPr>
            <w:tcW w:w="0" w:type="auto"/>
            <w:vMerge w:val="restart"/>
            <w:tcBorders>
              <w:top w:val="single" w:color="000000" w:sz="4" w:space="0"/>
              <w:left w:val="single" w:color="000000" w:sz="4" w:space="0"/>
              <w:right w:val="single" w:color="000000" w:sz="4" w:space="0"/>
            </w:tcBorders>
            <w:shd w:val="clear" w:color="auto" w:fill="auto"/>
            <w:vAlign w:val="center"/>
          </w:tcPr>
          <w:p w14:paraId="1A7B29D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color w:val="auto"/>
                <w:sz w:val="22"/>
                <w:szCs w:val="22"/>
                <w:highlight w:val="none"/>
              </w:rPr>
            </w:pPr>
            <w:r>
              <w:rPr>
                <w:rFonts w:hint="default" w:ascii="Times New Roman" w:hAnsi="Times New Roman" w:eastAsia="黑体" w:cs="Times New Roman"/>
                <w:color w:val="auto"/>
                <w:kern w:val="0"/>
                <w:sz w:val="22"/>
                <w:szCs w:val="22"/>
                <w:highlight w:val="none"/>
              </w:rPr>
              <w:t>区镇</w:t>
            </w:r>
          </w:p>
        </w:tc>
        <w:tc>
          <w:tcPr>
            <w:tcW w:w="0" w:type="auto"/>
            <w:vMerge w:val="restart"/>
            <w:tcBorders>
              <w:top w:val="single" w:color="000000" w:sz="4" w:space="0"/>
              <w:left w:val="single" w:color="000000" w:sz="4" w:space="0"/>
              <w:right w:val="single" w:color="000000" w:sz="4" w:space="0"/>
            </w:tcBorders>
            <w:shd w:val="clear" w:color="auto" w:fill="auto"/>
            <w:vAlign w:val="center"/>
          </w:tcPr>
          <w:p w14:paraId="7507301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color w:val="auto"/>
                <w:sz w:val="22"/>
                <w:szCs w:val="22"/>
                <w:highlight w:val="none"/>
              </w:rPr>
            </w:pPr>
            <w:r>
              <w:rPr>
                <w:rFonts w:hint="default" w:ascii="Times New Roman" w:hAnsi="Times New Roman" w:eastAsia="黑体" w:cs="Times New Roman"/>
                <w:color w:val="auto"/>
                <w:kern w:val="0"/>
                <w:sz w:val="22"/>
                <w:szCs w:val="22"/>
                <w:highlight w:val="none"/>
              </w:rPr>
              <w:t>社区总数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3008F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color w:val="auto"/>
                <w:kern w:val="0"/>
                <w:sz w:val="22"/>
                <w:szCs w:val="22"/>
                <w:highlight w:val="none"/>
              </w:rPr>
            </w:pPr>
            <w:r>
              <w:rPr>
                <w:rFonts w:hint="default" w:ascii="Times New Roman" w:hAnsi="Times New Roman" w:eastAsia="黑体" w:cs="Times New Roman"/>
                <w:color w:val="auto"/>
                <w:kern w:val="0"/>
                <w:sz w:val="22"/>
                <w:szCs w:val="22"/>
                <w:highlight w:val="none"/>
              </w:rPr>
              <w:t>3个功能</w:t>
            </w:r>
          </w:p>
          <w:p w14:paraId="20E56B0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color w:val="auto"/>
                <w:sz w:val="22"/>
                <w:szCs w:val="22"/>
                <w:highlight w:val="none"/>
                <w:lang w:val="en-US" w:eastAsia="zh-CN"/>
              </w:rPr>
            </w:pPr>
            <w:r>
              <w:rPr>
                <w:rFonts w:hint="default" w:ascii="Times New Roman" w:hAnsi="Times New Roman" w:eastAsia="黑体" w:cs="Times New Roman"/>
                <w:color w:val="auto"/>
                <w:kern w:val="0"/>
                <w:sz w:val="22"/>
                <w:szCs w:val="22"/>
                <w:highlight w:val="none"/>
              </w:rPr>
              <w:t>及以上</w:t>
            </w:r>
            <w:r>
              <w:rPr>
                <w:rFonts w:hint="default" w:ascii="Times New Roman" w:hAnsi="Times New Roman" w:eastAsia="黑体" w:cs="Times New Roman"/>
                <w:color w:val="auto"/>
                <w:kern w:val="0"/>
                <w:sz w:val="22"/>
                <w:szCs w:val="22"/>
                <w:highlight w:val="none"/>
                <w:lang w:val="en-US" w:eastAsia="zh-CN"/>
              </w:rPr>
              <w:t>社区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10954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color w:val="auto"/>
                <w:kern w:val="0"/>
                <w:sz w:val="22"/>
                <w:szCs w:val="22"/>
                <w:highlight w:val="none"/>
              </w:rPr>
            </w:pPr>
            <w:r>
              <w:rPr>
                <w:rFonts w:hint="default" w:ascii="Times New Roman" w:hAnsi="Times New Roman" w:eastAsia="黑体" w:cs="Times New Roman"/>
                <w:color w:val="auto"/>
                <w:kern w:val="0"/>
                <w:sz w:val="22"/>
                <w:szCs w:val="22"/>
                <w:highlight w:val="none"/>
              </w:rPr>
              <w:t>4个功能</w:t>
            </w:r>
          </w:p>
          <w:p w14:paraId="4A6487A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color w:val="auto"/>
                <w:sz w:val="22"/>
                <w:szCs w:val="22"/>
                <w:highlight w:val="none"/>
              </w:rPr>
            </w:pPr>
            <w:r>
              <w:rPr>
                <w:rFonts w:hint="default" w:ascii="Times New Roman" w:hAnsi="Times New Roman" w:eastAsia="黑体" w:cs="Times New Roman"/>
                <w:color w:val="auto"/>
                <w:kern w:val="0"/>
                <w:sz w:val="22"/>
                <w:szCs w:val="22"/>
                <w:highlight w:val="none"/>
              </w:rPr>
              <w:t>及以上社区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0A518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color w:val="auto"/>
                <w:kern w:val="0"/>
                <w:sz w:val="22"/>
                <w:szCs w:val="22"/>
                <w:highlight w:val="none"/>
              </w:rPr>
            </w:pPr>
            <w:r>
              <w:rPr>
                <w:rFonts w:hint="default" w:ascii="Times New Roman" w:hAnsi="Times New Roman" w:eastAsia="黑体" w:cs="Times New Roman"/>
                <w:color w:val="auto"/>
                <w:kern w:val="0"/>
                <w:sz w:val="22"/>
                <w:szCs w:val="22"/>
                <w:highlight w:val="none"/>
              </w:rPr>
              <w:t>5个功能</w:t>
            </w:r>
          </w:p>
          <w:p w14:paraId="1794E0D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color w:val="auto"/>
                <w:sz w:val="22"/>
                <w:szCs w:val="22"/>
                <w:highlight w:val="none"/>
              </w:rPr>
            </w:pPr>
            <w:r>
              <w:rPr>
                <w:rFonts w:hint="default" w:ascii="Times New Roman" w:hAnsi="Times New Roman" w:eastAsia="黑体" w:cs="Times New Roman"/>
                <w:color w:val="auto"/>
                <w:kern w:val="0"/>
                <w:sz w:val="22"/>
                <w:szCs w:val="22"/>
                <w:highlight w:val="none"/>
              </w:rPr>
              <w:t>及以上社区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765B4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color w:val="auto"/>
                <w:kern w:val="0"/>
                <w:sz w:val="22"/>
                <w:szCs w:val="22"/>
                <w:highlight w:val="none"/>
              </w:rPr>
            </w:pPr>
            <w:r>
              <w:rPr>
                <w:rFonts w:hint="default" w:ascii="Times New Roman" w:hAnsi="Times New Roman" w:eastAsia="黑体" w:cs="Times New Roman"/>
                <w:color w:val="auto"/>
                <w:kern w:val="0"/>
                <w:sz w:val="22"/>
                <w:szCs w:val="22"/>
                <w:highlight w:val="none"/>
              </w:rPr>
              <w:t>6个功能</w:t>
            </w:r>
          </w:p>
          <w:p w14:paraId="2E150F3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color w:val="auto"/>
                <w:sz w:val="22"/>
                <w:szCs w:val="22"/>
                <w:highlight w:val="none"/>
              </w:rPr>
            </w:pPr>
            <w:r>
              <w:rPr>
                <w:rFonts w:hint="default" w:ascii="Times New Roman" w:hAnsi="Times New Roman" w:eastAsia="黑体" w:cs="Times New Roman"/>
                <w:color w:val="auto"/>
                <w:kern w:val="0"/>
                <w:sz w:val="22"/>
                <w:szCs w:val="22"/>
                <w:highlight w:val="none"/>
              </w:rPr>
              <w:t>及以上社区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5841E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color w:val="auto"/>
                <w:kern w:val="0"/>
                <w:sz w:val="22"/>
                <w:szCs w:val="22"/>
                <w:highlight w:val="none"/>
              </w:rPr>
            </w:pPr>
            <w:r>
              <w:rPr>
                <w:rFonts w:hint="default" w:ascii="Times New Roman" w:hAnsi="Times New Roman" w:eastAsia="黑体" w:cs="Times New Roman"/>
                <w:color w:val="auto"/>
                <w:kern w:val="0"/>
                <w:sz w:val="22"/>
                <w:szCs w:val="22"/>
                <w:highlight w:val="none"/>
              </w:rPr>
              <w:t>7个功能</w:t>
            </w:r>
          </w:p>
          <w:p w14:paraId="6EA014B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color w:val="auto"/>
                <w:sz w:val="22"/>
                <w:szCs w:val="22"/>
                <w:highlight w:val="none"/>
              </w:rPr>
            </w:pPr>
            <w:r>
              <w:rPr>
                <w:rFonts w:hint="default" w:ascii="Times New Roman" w:hAnsi="Times New Roman" w:eastAsia="黑体" w:cs="Times New Roman"/>
                <w:color w:val="auto"/>
                <w:kern w:val="0"/>
                <w:sz w:val="22"/>
                <w:szCs w:val="22"/>
                <w:highlight w:val="none"/>
              </w:rPr>
              <w:t>及以上社区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E759F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color w:val="auto"/>
                <w:kern w:val="0"/>
                <w:sz w:val="22"/>
                <w:szCs w:val="22"/>
                <w:highlight w:val="none"/>
              </w:rPr>
            </w:pPr>
            <w:r>
              <w:rPr>
                <w:rFonts w:hint="default" w:ascii="Times New Roman" w:hAnsi="Times New Roman" w:eastAsia="黑体" w:cs="Times New Roman"/>
                <w:color w:val="auto"/>
                <w:kern w:val="0"/>
                <w:sz w:val="22"/>
                <w:szCs w:val="22"/>
                <w:highlight w:val="none"/>
              </w:rPr>
              <w:t>8个功能</w:t>
            </w:r>
          </w:p>
          <w:p w14:paraId="5265532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color w:val="auto"/>
                <w:sz w:val="22"/>
                <w:szCs w:val="22"/>
                <w:highlight w:val="none"/>
              </w:rPr>
            </w:pPr>
            <w:r>
              <w:rPr>
                <w:rFonts w:hint="default" w:ascii="Times New Roman" w:hAnsi="Times New Roman" w:eastAsia="黑体" w:cs="Times New Roman"/>
                <w:color w:val="auto"/>
                <w:kern w:val="0"/>
                <w:sz w:val="22"/>
                <w:szCs w:val="22"/>
                <w:highlight w:val="none"/>
              </w:rPr>
              <w:t>及以上社区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7EE50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color w:val="auto"/>
                <w:kern w:val="0"/>
                <w:sz w:val="22"/>
                <w:szCs w:val="22"/>
                <w:highlight w:val="none"/>
              </w:rPr>
            </w:pPr>
            <w:r>
              <w:rPr>
                <w:rFonts w:hint="default" w:ascii="Times New Roman" w:hAnsi="Times New Roman" w:eastAsia="黑体" w:cs="Times New Roman"/>
                <w:color w:val="auto"/>
                <w:kern w:val="0"/>
                <w:sz w:val="22"/>
                <w:szCs w:val="22"/>
                <w:highlight w:val="none"/>
              </w:rPr>
              <w:t>9个功能</w:t>
            </w:r>
          </w:p>
          <w:p w14:paraId="4A9153B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color w:val="auto"/>
                <w:sz w:val="22"/>
                <w:szCs w:val="22"/>
                <w:highlight w:val="none"/>
              </w:rPr>
            </w:pPr>
            <w:r>
              <w:rPr>
                <w:rFonts w:hint="default" w:ascii="Times New Roman" w:hAnsi="Times New Roman" w:eastAsia="黑体" w:cs="Times New Roman"/>
                <w:color w:val="auto"/>
                <w:kern w:val="0"/>
                <w:sz w:val="22"/>
                <w:szCs w:val="22"/>
                <w:highlight w:val="none"/>
              </w:rPr>
              <w:t>社区</w:t>
            </w:r>
          </w:p>
        </w:tc>
      </w:tr>
      <w:tr w14:paraId="76F8486E">
        <w:tblPrEx>
          <w:tblCellMar>
            <w:top w:w="0" w:type="dxa"/>
            <w:left w:w="108" w:type="dxa"/>
            <w:bottom w:w="0" w:type="dxa"/>
            <w:right w:w="108" w:type="dxa"/>
          </w:tblCellMar>
        </w:tblPrEx>
        <w:trPr>
          <w:trHeight w:val="454" w:hRule="atLeast"/>
          <w:jc w:val="center"/>
        </w:trPr>
        <w:tc>
          <w:tcPr>
            <w:tcW w:w="0" w:type="auto"/>
            <w:vMerge w:val="continue"/>
            <w:tcBorders>
              <w:left w:val="single" w:color="000000" w:sz="4" w:space="0"/>
              <w:bottom w:val="single" w:color="000000" w:sz="4" w:space="0"/>
              <w:right w:val="single" w:color="000000" w:sz="4" w:space="0"/>
            </w:tcBorders>
            <w:shd w:val="clear" w:color="auto" w:fill="auto"/>
            <w:vAlign w:val="center"/>
          </w:tcPr>
          <w:p w14:paraId="0957470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color w:val="auto"/>
                <w:kern w:val="0"/>
                <w:sz w:val="22"/>
                <w:szCs w:val="22"/>
                <w:highlight w:val="none"/>
              </w:rPr>
            </w:pPr>
          </w:p>
        </w:tc>
        <w:tc>
          <w:tcPr>
            <w:tcW w:w="0" w:type="auto"/>
            <w:vMerge w:val="continue"/>
            <w:tcBorders>
              <w:left w:val="single" w:color="000000" w:sz="4" w:space="0"/>
              <w:bottom w:val="single" w:color="000000" w:sz="4" w:space="0"/>
              <w:right w:val="single" w:color="000000" w:sz="4" w:space="0"/>
            </w:tcBorders>
            <w:shd w:val="clear" w:color="auto" w:fill="auto"/>
            <w:vAlign w:val="center"/>
          </w:tcPr>
          <w:p w14:paraId="6A901AC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color w:val="auto"/>
                <w:kern w:val="0"/>
                <w:sz w:val="22"/>
                <w:szCs w:val="22"/>
                <w:highlight w:val="none"/>
              </w:rPr>
            </w:pP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14:paraId="75DA937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color w:val="auto"/>
                <w:kern w:val="0"/>
                <w:sz w:val="22"/>
                <w:szCs w:val="22"/>
                <w:highlight w:val="none"/>
                <w:lang w:val="en-US" w:eastAsia="zh-CN"/>
              </w:rPr>
            </w:pPr>
            <w:r>
              <w:rPr>
                <w:rFonts w:hint="default" w:ascii="Times New Roman" w:hAnsi="Times New Roman" w:eastAsia="黑体" w:cs="Times New Roman"/>
                <w:color w:val="auto"/>
                <w:kern w:val="0"/>
                <w:sz w:val="22"/>
                <w:szCs w:val="22"/>
                <w:highlight w:val="none"/>
                <w:lang w:val="en-US" w:eastAsia="zh-CN"/>
              </w:rPr>
              <w:t>数量</w:t>
            </w: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14:paraId="6F630CF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color w:val="auto"/>
                <w:kern w:val="0"/>
                <w:sz w:val="22"/>
                <w:szCs w:val="22"/>
                <w:highlight w:val="none"/>
                <w:lang w:val="en-US" w:eastAsia="zh-CN"/>
              </w:rPr>
            </w:pPr>
            <w:r>
              <w:rPr>
                <w:rFonts w:hint="default" w:ascii="Times New Roman" w:hAnsi="Times New Roman" w:eastAsia="黑体" w:cs="Times New Roman"/>
                <w:color w:val="auto"/>
                <w:kern w:val="0"/>
                <w:sz w:val="22"/>
                <w:szCs w:val="22"/>
                <w:highlight w:val="none"/>
                <w:lang w:val="en-US" w:eastAsia="zh-CN"/>
              </w:rPr>
              <w:t>占比</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14:paraId="549BBBE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color w:val="auto"/>
                <w:kern w:val="0"/>
                <w:sz w:val="22"/>
                <w:szCs w:val="22"/>
                <w:highlight w:val="none"/>
              </w:rPr>
            </w:pPr>
            <w:r>
              <w:rPr>
                <w:rFonts w:hint="default" w:ascii="Times New Roman" w:hAnsi="Times New Roman" w:eastAsia="黑体" w:cs="Times New Roman"/>
                <w:color w:val="auto"/>
                <w:kern w:val="0"/>
                <w:sz w:val="22"/>
                <w:szCs w:val="22"/>
                <w:highlight w:val="none"/>
                <w:lang w:val="en-US" w:eastAsia="zh-CN"/>
              </w:rPr>
              <w:t>数量</w:t>
            </w: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14:paraId="3F97E6D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color w:val="auto"/>
                <w:kern w:val="0"/>
                <w:sz w:val="22"/>
                <w:szCs w:val="22"/>
                <w:highlight w:val="none"/>
              </w:rPr>
            </w:pPr>
            <w:r>
              <w:rPr>
                <w:rFonts w:hint="default" w:ascii="Times New Roman" w:hAnsi="Times New Roman" w:eastAsia="黑体" w:cs="Times New Roman"/>
                <w:color w:val="auto"/>
                <w:kern w:val="0"/>
                <w:sz w:val="22"/>
                <w:szCs w:val="22"/>
                <w:highlight w:val="none"/>
                <w:lang w:val="en-US" w:eastAsia="zh-CN"/>
              </w:rPr>
              <w:t>占比</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14:paraId="5B35596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color w:val="auto"/>
                <w:kern w:val="0"/>
                <w:sz w:val="22"/>
                <w:szCs w:val="22"/>
                <w:highlight w:val="none"/>
              </w:rPr>
            </w:pPr>
            <w:r>
              <w:rPr>
                <w:rFonts w:hint="default" w:ascii="Times New Roman" w:hAnsi="Times New Roman" w:eastAsia="黑体" w:cs="Times New Roman"/>
                <w:color w:val="auto"/>
                <w:kern w:val="0"/>
                <w:sz w:val="22"/>
                <w:szCs w:val="22"/>
                <w:highlight w:val="none"/>
                <w:lang w:val="en-US" w:eastAsia="zh-CN"/>
              </w:rPr>
              <w:t>数量</w:t>
            </w: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14:paraId="4233BC8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color w:val="auto"/>
                <w:kern w:val="0"/>
                <w:sz w:val="22"/>
                <w:szCs w:val="22"/>
                <w:highlight w:val="none"/>
              </w:rPr>
            </w:pPr>
            <w:r>
              <w:rPr>
                <w:rFonts w:hint="default" w:ascii="Times New Roman" w:hAnsi="Times New Roman" w:eastAsia="黑体" w:cs="Times New Roman"/>
                <w:color w:val="auto"/>
                <w:kern w:val="0"/>
                <w:sz w:val="22"/>
                <w:szCs w:val="22"/>
                <w:highlight w:val="none"/>
                <w:lang w:val="en-US" w:eastAsia="zh-CN"/>
              </w:rPr>
              <w:t>占比</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14:paraId="596A345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color w:val="auto"/>
                <w:kern w:val="0"/>
                <w:sz w:val="22"/>
                <w:szCs w:val="22"/>
                <w:highlight w:val="none"/>
              </w:rPr>
            </w:pPr>
            <w:r>
              <w:rPr>
                <w:rFonts w:hint="default" w:ascii="Times New Roman" w:hAnsi="Times New Roman" w:eastAsia="黑体" w:cs="Times New Roman"/>
                <w:color w:val="auto"/>
                <w:kern w:val="0"/>
                <w:sz w:val="22"/>
                <w:szCs w:val="22"/>
                <w:highlight w:val="none"/>
                <w:lang w:val="en-US" w:eastAsia="zh-CN"/>
              </w:rPr>
              <w:t>数量</w:t>
            </w: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14:paraId="4E06131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color w:val="auto"/>
                <w:kern w:val="0"/>
                <w:sz w:val="22"/>
                <w:szCs w:val="22"/>
                <w:highlight w:val="none"/>
              </w:rPr>
            </w:pPr>
            <w:r>
              <w:rPr>
                <w:rFonts w:hint="default" w:ascii="Times New Roman" w:hAnsi="Times New Roman" w:eastAsia="黑体" w:cs="Times New Roman"/>
                <w:color w:val="auto"/>
                <w:kern w:val="0"/>
                <w:sz w:val="22"/>
                <w:szCs w:val="22"/>
                <w:highlight w:val="none"/>
                <w:lang w:val="en-US" w:eastAsia="zh-CN"/>
              </w:rPr>
              <w:t>占比</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14:paraId="04C52B6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color w:val="auto"/>
                <w:kern w:val="0"/>
                <w:sz w:val="22"/>
                <w:szCs w:val="22"/>
                <w:highlight w:val="none"/>
              </w:rPr>
            </w:pPr>
            <w:r>
              <w:rPr>
                <w:rFonts w:hint="default" w:ascii="Times New Roman" w:hAnsi="Times New Roman" w:eastAsia="黑体" w:cs="Times New Roman"/>
                <w:color w:val="auto"/>
                <w:kern w:val="0"/>
                <w:sz w:val="22"/>
                <w:szCs w:val="22"/>
                <w:highlight w:val="none"/>
                <w:lang w:val="en-US" w:eastAsia="zh-CN"/>
              </w:rPr>
              <w:t>数量</w:t>
            </w: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14:paraId="7689EB6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color w:val="auto"/>
                <w:kern w:val="0"/>
                <w:sz w:val="22"/>
                <w:szCs w:val="22"/>
                <w:highlight w:val="none"/>
              </w:rPr>
            </w:pPr>
            <w:r>
              <w:rPr>
                <w:rFonts w:hint="default" w:ascii="Times New Roman" w:hAnsi="Times New Roman" w:eastAsia="黑体" w:cs="Times New Roman"/>
                <w:color w:val="auto"/>
                <w:kern w:val="0"/>
                <w:sz w:val="22"/>
                <w:szCs w:val="22"/>
                <w:highlight w:val="none"/>
                <w:lang w:val="en-US" w:eastAsia="zh-CN"/>
              </w:rPr>
              <w:t>占比</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14:paraId="2BC01EC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color w:val="auto"/>
                <w:kern w:val="0"/>
                <w:sz w:val="22"/>
                <w:szCs w:val="22"/>
                <w:highlight w:val="none"/>
              </w:rPr>
            </w:pPr>
            <w:r>
              <w:rPr>
                <w:rFonts w:hint="default" w:ascii="Times New Roman" w:hAnsi="Times New Roman" w:eastAsia="黑体" w:cs="Times New Roman"/>
                <w:color w:val="auto"/>
                <w:kern w:val="0"/>
                <w:sz w:val="22"/>
                <w:szCs w:val="22"/>
                <w:highlight w:val="none"/>
                <w:lang w:val="en-US" w:eastAsia="zh-CN"/>
              </w:rPr>
              <w:t>数量</w:t>
            </w: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14:paraId="3692E00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color w:val="auto"/>
                <w:kern w:val="0"/>
                <w:sz w:val="22"/>
                <w:szCs w:val="22"/>
                <w:highlight w:val="none"/>
              </w:rPr>
            </w:pPr>
            <w:r>
              <w:rPr>
                <w:rFonts w:hint="default" w:ascii="Times New Roman" w:hAnsi="Times New Roman" w:eastAsia="黑体" w:cs="Times New Roman"/>
                <w:color w:val="auto"/>
                <w:kern w:val="0"/>
                <w:sz w:val="22"/>
                <w:szCs w:val="22"/>
                <w:highlight w:val="none"/>
                <w:lang w:val="en-US" w:eastAsia="zh-CN"/>
              </w:rPr>
              <w:t>占比</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14:paraId="3CE9F00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color w:val="auto"/>
                <w:kern w:val="0"/>
                <w:sz w:val="22"/>
                <w:szCs w:val="22"/>
                <w:highlight w:val="none"/>
              </w:rPr>
            </w:pPr>
            <w:r>
              <w:rPr>
                <w:rFonts w:hint="default" w:ascii="Times New Roman" w:hAnsi="Times New Roman" w:eastAsia="黑体" w:cs="Times New Roman"/>
                <w:color w:val="auto"/>
                <w:kern w:val="0"/>
                <w:sz w:val="22"/>
                <w:szCs w:val="22"/>
                <w:highlight w:val="none"/>
                <w:lang w:val="en-US" w:eastAsia="zh-CN"/>
              </w:rPr>
              <w:t>数量</w:t>
            </w: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14:paraId="6995ECE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color w:val="auto"/>
                <w:kern w:val="0"/>
                <w:sz w:val="22"/>
                <w:szCs w:val="22"/>
                <w:highlight w:val="none"/>
              </w:rPr>
            </w:pPr>
            <w:r>
              <w:rPr>
                <w:rFonts w:hint="default" w:ascii="Times New Roman" w:hAnsi="Times New Roman" w:eastAsia="黑体" w:cs="Times New Roman"/>
                <w:color w:val="auto"/>
                <w:kern w:val="0"/>
                <w:sz w:val="22"/>
                <w:szCs w:val="22"/>
                <w:highlight w:val="none"/>
                <w:lang w:val="en-US" w:eastAsia="zh-CN"/>
              </w:rPr>
              <w:t>占比</w:t>
            </w:r>
          </w:p>
        </w:tc>
      </w:tr>
      <w:tr w14:paraId="190C9D12">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59BE91">
            <w:pPr>
              <w:widowControl/>
              <w:jc w:val="center"/>
              <w:textAlignment w:val="center"/>
              <w:rPr>
                <w:rFonts w:hint="default" w:ascii="Times New Roman" w:hAnsi="Times New Roman" w:eastAsia="宋体" w:cs="Times New Roman"/>
                <w:b/>
                <w:bCs/>
                <w:color w:val="auto"/>
                <w:sz w:val="22"/>
                <w:szCs w:val="22"/>
                <w:highlight w:val="none"/>
              </w:rPr>
            </w:pPr>
            <w:r>
              <w:rPr>
                <w:rFonts w:hint="default" w:ascii="Times New Roman" w:hAnsi="Times New Roman" w:eastAsia="宋体" w:cs="Times New Roman"/>
                <w:b/>
                <w:bCs/>
                <w:color w:val="auto"/>
                <w:kern w:val="0"/>
                <w:sz w:val="22"/>
                <w:szCs w:val="22"/>
                <w:highlight w:val="none"/>
              </w:rPr>
              <w:t>全市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A2A0F9">
            <w:pPr>
              <w:widowControl/>
              <w:jc w:val="center"/>
              <w:textAlignment w:val="center"/>
              <w:rPr>
                <w:rFonts w:hint="default" w:ascii="Times New Roman" w:hAnsi="Times New Roman" w:eastAsia="宋体" w:cs="Times New Roman"/>
                <w:b/>
                <w:bCs/>
                <w:color w:val="auto"/>
                <w:sz w:val="22"/>
                <w:szCs w:val="22"/>
                <w:highlight w:val="none"/>
              </w:rPr>
            </w:pPr>
            <w:r>
              <w:rPr>
                <w:rFonts w:hint="default" w:ascii="Times New Roman" w:hAnsi="Times New Roman" w:eastAsia="宋体" w:cs="Times New Roman"/>
                <w:b/>
                <w:bCs/>
                <w:color w:val="auto"/>
                <w:kern w:val="0"/>
                <w:sz w:val="22"/>
                <w:szCs w:val="22"/>
                <w:highlight w:val="none"/>
              </w:rPr>
              <w:t>248</w:t>
            </w:r>
          </w:p>
        </w:tc>
        <w:tc>
          <w:tcPr>
            <w:tcW w:w="672" w:type="dxa"/>
            <w:tcBorders>
              <w:top w:val="single" w:color="000000" w:sz="4" w:space="0"/>
              <w:left w:val="single" w:color="000000" w:sz="4" w:space="0"/>
              <w:bottom w:val="single" w:color="000000" w:sz="4" w:space="0"/>
              <w:right w:val="single" w:color="auto" w:sz="4" w:space="0"/>
            </w:tcBorders>
            <w:shd w:val="clear" w:color="auto" w:fill="auto"/>
            <w:vAlign w:val="center"/>
          </w:tcPr>
          <w:p w14:paraId="7ECB87F9">
            <w:pPr>
              <w:keepNext w:val="0"/>
              <w:keepLines w:val="0"/>
              <w:widowControl/>
              <w:suppressLineNumbers w:val="0"/>
              <w:jc w:val="center"/>
              <w:textAlignment w:val="center"/>
              <w:rPr>
                <w:rFonts w:hint="default" w:ascii="Times New Roman" w:hAnsi="Times New Roman" w:eastAsia="宋体" w:cs="Times New Roman"/>
                <w:b/>
                <w:bCs/>
                <w:color w:val="auto"/>
                <w:sz w:val="22"/>
                <w:szCs w:val="22"/>
                <w:highlight w:val="none"/>
                <w:lang w:eastAsia="zh-CN"/>
              </w:rPr>
            </w:pPr>
            <w:r>
              <w:rPr>
                <w:rFonts w:hint="default" w:ascii="Times New Roman" w:hAnsi="Times New Roman" w:eastAsia="等线" w:cs="Times New Roman"/>
                <w:b/>
                <w:bCs/>
                <w:i w:val="0"/>
                <w:iCs w:val="0"/>
                <w:color w:val="auto"/>
                <w:spacing w:val="-4"/>
                <w:kern w:val="0"/>
                <w:sz w:val="22"/>
                <w:szCs w:val="22"/>
                <w:highlight w:val="none"/>
                <w:u w:val="none"/>
                <w:lang w:val="en-US" w:eastAsia="zh-CN" w:bidi="ar"/>
              </w:rPr>
              <w:t>230</w:t>
            </w:r>
          </w:p>
        </w:tc>
        <w:tc>
          <w:tcPr>
            <w:tcW w:w="1020" w:type="dxa"/>
            <w:tcBorders>
              <w:top w:val="single" w:color="000000" w:sz="4" w:space="0"/>
              <w:left w:val="single" w:color="auto" w:sz="4" w:space="0"/>
              <w:bottom w:val="single" w:color="000000" w:sz="4" w:space="0"/>
              <w:right w:val="single" w:color="000000" w:sz="4" w:space="0"/>
            </w:tcBorders>
            <w:shd w:val="clear" w:color="auto" w:fill="auto"/>
            <w:vAlign w:val="center"/>
          </w:tcPr>
          <w:p w14:paraId="4AF6ABFF">
            <w:pPr>
              <w:keepNext w:val="0"/>
              <w:keepLines w:val="0"/>
              <w:widowControl/>
              <w:suppressLineNumbers w:val="0"/>
              <w:jc w:val="center"/>
              <w:textAlignment w:val="center"/>
              <w:rPr>
                <w:rFonts w:hint="default" w:ascii="Times New Roman" w:hAnsi="Times New Roman" w:eastAsia="宋体" w:cs="Times New Roman"/>
                <w:b/>
                <w:bCs/>
                <w:color w:val="auto"/>
                <w:kern w:val="0"/>
                <w:sz w:val="22"/>
                <w:szCs w:val="22"/>
                <w:highlight w:val="none"/>
              </w:rPr>
            </w:pPr>
            <w:r>
              <w:rPr>
                <w:rFonts w:hint="default" w:ascii="Times New Roman" w:hAnsi="Times New Roman" w:eastAsia="等线" w:cs="Times New Roman"/>
                <w:b/>
                <w:bCs/>
                <w:i w:val="0"/>
                <w:iCs w:val="0"/>
                <w:color w:val="auto"/>
                <w:spacing w:val="-4"/>
                <w:kern w:val="0"/>
                <w:sz w:val="22"/>
                <w:szCs w:val="22"/>
                <w:highlight w:val="none"/>
                <w:u w:val="none"/>
                <w:lang w:val="en-US" w:eastAsia="zh-CN" w:bidi="ar"/>
              </w:rPr>
              <w:t>93%</w:t>
            </w:r>
          </w:p>
        </w:tc>
        <w:tc>
          <w:tcPr>
            <w:tcW w:w="666" w:type="dxa"/>
            <w:tcBorders>
              <w:top w:val="single" w:color="000000" w:sz="4" w:space="0"/>
              <w:left w:val="single" w:color="000000" w:sz="4" w:space="0"/>
              <w:bottom w:val="single" w:color="000000" w:sz="4" w:space="0"/>
              <w:right w:val="single" w:color="auto" w:sz="4" w:space="0"/>
            </w:tcBorders>
            <w:shd w:val="clear" w:color="auto" w:fill="auto"/>
            <w:vAlign w:val="center"/>
          </w:tcPr>
          <w:p w14:paraId="214EAD30">
            <w:pPr>
              <w:keepNext w:val="0"/>
              <w:keepLines w:val="0"/>
              <w:widowControl/>
              <w:suppressLineNumbers w:val="0"/>
              <w:jc w:val="center"/>
              <w:textAlignment w:val="center"/>
              <w:rPr>
                <w:rFonts w:hint="default" w:ascii="Times New Roman" w:hAnsi="Times New Roman" w:eastAsia="宋体" w:cs="Times New Roman"/>
                <w:b/>
                <w:bCs/>
                <w:color w:val="auto"/>
                <w:sz w:val="22"/>
                <w:szCs w:val="22"/>
                <w:highlight w:val="none"/>
              </w:rPr>
            </w:pPr>
            <w:r>
              <w:rPr>
                <w:rFonts w:hint="default" w:ascii="Times New Roman" w:hAnsi="Times New Roman" w:eastAsia="等线" w:cs="Times New Roman"/>
                <w:b/>
                <w:bCs/>
                <w:i w:val="0"/>
                <w:iCs w:val="0"/>
                <w:color w:val="auto"/>
                <w:spacing w:val="-4"/>
                <w:kern w:val="0"/>
                <w:sz w:val="22"/>
                <w:szCs w:val="22"/>
                <w:highlight w:val="none"/>
                <w:u w:val="none"/>
                <w:lang w:val="en-US" w:eastAsia="zh-CN" w:bidi="ar"/>
              </w:rPr>
              <w:t>206</w:t>
            </w:r>
          </w:p>
        </w:tc>
        <w:tc>
          <w:tcPr>
            <w:tcW w:w="1021" w:type="dxa"/>
            <w:tcBorders>
              <w:top w:val="single" w:color="000000" w:sz="4" w:space="0"/>
              <w:left w:val="single" w:color="auto" w:sz="4" w:space="0"/>
              <w:bottom w:val="single" w:color="000000" w:sz="4" w:space="0"/>
              <w:right w:val="single" w:color="000000" w:sz="4" w:space="0"/>
            </w:tcBorders>
            <w:shd w:val="clear" w:color="auto" w:fill="auto"/>
            <w:vAlign w:val="center"/>
          </w:tcPr>
          <w:p w14:paraId="48F0D495">
            <w:pPr>
              <w:keepNext w:val="0"/>
              <w:keepLines w:val="0"/>
              <w:widowControl/>
              <w:suppressLineNumbers w:val="0"/>
              <w:jc w:val="center"/>
              <w:textAlignment w:val="center"/>
              <w:rPr>
                <w:rFonts w:hint="default" w:ascii="Times New Roman" w:hAnsi="Times New Roman" w:eastAsia="宋体" w:cs="Times New Roman"/>
                <w:b/>
                <w:bCs/>
                <w:color w:val="auto"/>
                <w:kern w:val="0"/>
                <w:sz w:val="22"/>
                <w:szCs w:val="22"/>
                <w:highlight w:val="none"/>
              </w:rPr>
            </w:pPr>
            <w:r>
              <w:rPr>
                <w:rFonts w:hint="default" w:ascii="Times New Roman" w:hAnsi="Times New Roman" w:eastAsia="等线" w:cs="Times New Roman"/>
                <w:b/>
                <w:bCs/>
                <w:i w:val="0"/>
                <w:iCs w:val="0"/>
                <w:color w:val="auto"/>
                <w:spacing w:val="-4"/>
                <w:kern w:val="0"/>
                <w:sz w:val="22"/>
                <w:szCs w:val="22"/>
                <w:highlight w:val="none"/>
                <w:u w:val="none"/>
                <w:lang w:val="en-US" w:eastAsia="zh-CN" w:bidi="ar"/>
              </w:rPr>
              <w:t>83%</w:t>
            </w:r>
          </w:p>
        </w:tc>
        <w:tc>
          <w:tcPr>
            <w:tcW w:w="666" w:type="dxa"/>
            <w:tcBorders>
              <w:top w:val="single" w:color="000000" w:sz="4" w:space="0"/>
              <w:left w:val="single" w:color="000000" w:sz="4" w:space="0"/>
              <w:bottom w:val="single" w:color="000000" w:sz="4" w:space="0"/>
              <w:right w:val="single" w:color="auto" w:sz="4" w:space="0"/>
            </w:tcBorders>
            <w:shd w:val="clear" w:color="auto" w:fill="auto"/>
            <w:vAlign w:val="center"/>
          </w:tcPr>
          <w:p w14:paraId="1B36F5AA">
            <w:pPr>
              <w:keepNext w:val="0"/>
              <w:keepLines w:val="0"/>
              <w:widowControl/>
              <w:suppressLineNumbers w:val="0"/>
              <w:jc w:val="center"/>
              <w:textAlignment w:val="center"/>
              <w:rPr>
                <w:rFonts w:hint="default" w:ascii="Times New Roman" w:hAnsi="Times New Roman" w:eastAsia="宋体" w:cs="Times New Roman"/>
                <w:b/>
                <w:bCs/>
                <w:color w:val="auto"/>
                <w:sz w:val="22"/>
                <w:szCs w:val="22"/>
                <w:highlight w:val="none"/>
              </w:rPr>
            </w:pPr>
            <w:r>
              <w:rPr>
                <w:rFonts w:hint="default" w:ascii="Times New Roman" w:hAnsi="Times New Roman" w:eastAsia="等线" w:cs="Times New Roman"/>
                <w:b/>
                <w:bCs/>
                <w:i w:val="0"/>
                <w:iCs w:val="0"/>
                <w:color w:val="auto"/>
                <w:spacing w:val="-4"/>
                <w:kern w:val="0"/>
                <w:sz w:val="22"/>
                <w:szCs w:val="22"/>
                <w:highlight w:val="none"/>
                <w:u w:val="none"/>
                <w:lang w:val="en-US" w:eastAsia="zh-CN" w:bidi="ar"/>
              </w:rPr>
              <w:t>188</w:t>
            </w:r>
          </w:p>
        </w:tc>
        <w:tc>
          <w:tcPr>
            <w:tcW w:w="1021" w:type="dxa"/>
            <w:tcBorders>
              <w:top w:val="single" w:color="000000" w:sz="4" w:space="0"/>
              <w:left w:val="single" w:color="auto" w:sz="4" w:space="0"/>
              <w:bottom w:val="single" w:color="000000" w:sz="4" w:space="0"/>
              <w:right w:val="single" w:color="000000" w:sz="4" w:space="0"/>
            </w:tcBorders>
            <w:shd w:val="clear" w:color="auto" w:fill="auto"/>
            <w:vAlign w:val="center"/>
          </w:tcPr>
          <w:p w14:paraId="1516BC87">
            <w:pPr>
              <w:keepNext w:val="0"/>
              <w:keepLines w:val="0"/>
              <w:widowControl/>
              <w:suppressLineNumbers w:val="0"/>
              <w:jc w:val="center"/>
              <w:textAlignment w:val="center"/>
              <w:rPr>
                <w:rFonts w:hint="default" w:ascii="Times New Roman" w:hAnsi="Times New Roman" w:eastAsia="宋体" w:cs="Times New Roman"/>
                <w:b/>
                <w:bCs/>
                <w:color w:val="auto"/>
                <w:kern w:val="0"/>
                <w:sz w:val="22"/>
                <w:szCs w:val="22"/>
                <w:highlight w:val="none"/>
              </w:rPr>
            </w:pPr>
            <w:r>
              <w:rPr>
                <w:rFonts w:hint="default" w:ascii="Times New Roman" w:hAnsi="Times New Roman" w:eastAsia="等线" w:cs="Times New Roman"/>
                <w:b/>
                <w:bCs/>
                <w:i w:val="0"/>
                <w:iCs w:val="0"/>
                <w:color w:val="auto"/>
                <w:spacing w:val="-4"/>
                <w:kern w:val="0"/>
                <w:sz w:val="22"/>
                <w:szCs w:val="22"/>
                <w:highlight w:val="none"/>
                <w:u w:val="none"/>
                <w:lang w:val="en-US" w:eastAsia="zh-CN" w:bidi="ar"/>
              </w:rPr>
              <w:t>76%</w:t>
            </w:r>
          </w:p>
        </w:tc>
        <w:tc>
          <w:tcPr>
            <w:tcW w:w="666" w:type="dxa"/>
            <w:tcBorders>
              <w:top w:val="single" w:color="000000" w:sz="4" w:space="0"/>
              <w:left w:val="single" w:color="000000" w:sz="4" w:space="0"/>
              <w:bottom w:val="single" w:color="000000" w:sz="4" w:space="0"/>
              <w:right w:val="single" w:color="auto" w:sz="4" w:space="0"/>
            </w:tcBorders>
            <w:shd w:val="clear" w:color="auto" w:fill="auto"/>
            <w:vAlign w:val="center"/>
          </w:tcPr>
          <w:p w14:paraId="2F148FDE">
            <w:pPr>
              <w:keepNext w:val="0"/>
              <w:keepLines w:val="0"/>
              <w:widowControl/>
              <w:suppressLineNumbers w:val="0"/>
              <w:jc w:val="center"/>
              <w:textAlignment w:val="center"/>
              <w:rPr>
                <w:rFonts w:hint="default" w:ascii="Times New Roman" w:hAnsi="Times New Roman" w:eastAsia="宋体" w:cs="Times New Roman"/>
                <w:b/>
                <w:bCs/>
                <w:color w:val="auto"/>
                <w:sz w:val="22"/>
                <w:szCs w:val="22"/>
                <w:highlight w:val="none"/>
              </w:rPr>
            </w:pPr>
            <w:r>
              <w:rPr>
                <w:rFonts w:hint="default" w:ascii="Times New Roman" w:hAnsi="Times New Roman" w:eastAsia="等线" w:cs="Times New Roman"/>
                <w:b/>
                <w:bCs/>
                <w:i w:val="0"/>
                <w:iCs w:val="0"/>
                <w:color w:val="auto"/>
                <w:spacing w:val="-4"/>
                <w:kern w:val="0"/>
                <w:sz w:val="22"/>
                <w:szCs w:val="22"/>
                <w:highlight w:val="none"/>
                <w:u w:val="none"/>
                <w:lang w:val="en-US" w:eastAsia="zh-CN" w:bidi="ar"/>
              </w:rPr>
              <w:t>120</w:t>
            </w:r>
          </w:p>
        </w:tc>
        <w:tc>
          <w:tcPr>
            <w:tcW w:w="1021" w:type="dxa"/>
            <w:tcBorders>
              <w:top w:val="single" w:color="000000" w:sz="4" w:space="0"/>
              <w:left w:val="single" w:color="auto" w:sz="4" w:space="0"/>
              <w:bottom w:val="single" w:color="000000" w:sz="4" w:space="0"/>
              <w:right w:val="single" w:color="000000" w:sz="4" w:space="0"/>
            </w:tcBorders>
            <w:shd w:val="clear" w:color="auto" w:fill="auto"/>
            <w:vAlign w:val="center"/>
          </w:tcPr>
          <w:p w14:paraId="6B52A6B8">
            <w:pPr>
              <w:keepNext w:val="0"/>
              <w:keepLines w:val="0"/>
              <w:widowControl/>
              <w:suppressLineNumbers w:val="0"/>
              <w:jc w:val="center"/>
              <w:textAlignment w:val="center"/>
              <w:rPr>
                <w:rFonts w:hint="default" w:ascii="Times New Roman" w:hAnsi="Times New Roman" w:eastAsia="宋体" w:cs="Times New Roman"/>
                <w:b/>
                <w:bCs/>
                <w:color w:val="auto"/>
                <w:kern w:val="0"/>
                <w:sz w:val="22"/>
                <w:szCs w:val="22"/>
                <w:highlight w:val="none"/>
              </w:rPr>
            </w:pPr>
            <w:r>
              <w:rPr>
                <w:rFonts w:hint="default" w:ascii="Times New Roman" w:hAnsi="Times New Roman" w:eastAsia="等线" w:cs="Times New Roman"/>
                <w:b/>
                <w:bCs/>
                <w:i w:val="0"/>
                <w:iCs w:val="0"/>
                <w:color w:val="auto"/>
                <w:spacing w:val="-4"/>
                <w:kern w:val="0"/>
                <w:sz w:val="22"/>
                <w:szCs w:val="22"/>
                <w:highlight w:val="none"/>
                <w:u w:val="none"/>
                <w:lang w:val="en-US" w:eastAsia="zh-CN" w:bidi="ar"/>
              </w:rPr>
              <w:t>48%</w:t>
            </w:r>
          </w:p>
        </w:tc>
        <w:tc>
          <w:tcPr>
            <w:tcW w:w="666" w:type="dxa"/>
            <w:tcBorders>
              <w:top w:val="single" w:color="000000" w:sz="4" w:space="0"/>
              <w:left w:val="single" w:color="000000" w:sz="4" w:space="0"/>
              <w:bottom w:val="single" w:color="000000" w:sz="4" w:space="0"/>
              <w:right w:val="single" w:color="auto" w:sz="4" w:space="0"/>
            </w:tcBorders>
            <w:shd w:val="clear" w:color="auto" w:fill="auto"/>
            <w:vAlign w:val="center"/>
          </w:tcPr>
          <w:p w14:paraId="03C1297F">
            <w:pPr>
              <w:keepNext w:val="0"/>
              <w:keepLines w:val="0"/>
              <w:widowControl/>
              <w:suppressLineNumbers w:val="0"/>
              <w:jc w:val="center"/>
              <w:textAlignment w:val="center"/>
              <w:rPr>
                <w:rFonts w:hint="default" w:ascii="Times New Roman" w:hAnsi="Times New Roman" w:eastAsia="宋体" w:cs="Times New Roman"/>
                <w:b/>
                <w:bCs/>
                <w:color w:val="auto"/>
                <w:sz w:val="22"/>
                <w:szCs w:val="22"/>
                <w:highlight w:val="none"/>
              </w:rPr>
            </w:pPr>
            <w:r>
              <w:rPr>
                <w:rFonts w:hint="default" w:ascii="Times New Roman" w:hAnsi="Times New Roman" w:eastAsia="等线" w:cs="Times New Roman"/>
                <w:b/>
                <w:bCs/>
                <w:i w:val="0"/>
                <w:iCs w:val="0"/>
                <w:color w:val="auto"/>
                <w:spacing w:val="-4"/>
                <w:kern w:val="0"/>
                <w:sz w:val="22"/>
                <w:szCs w:val="22"/>
                <w:highlight w:val="none"/>
                <w:u w:val="none"/>
                <w:lang w:val="en-US" w:eastAsia="zh-CN" w:bidi="ar"/>
              </w:rPr>
              <w:t>71</w:t>
            </w:r>
          </w:p>
        </w:tc>
        <w:tc>
          <w:tcPr>
            <w:tcW w:w="1021" w:type="dxa"/>
            <w:tcBorders>
              <w:top w:val="single" w:color="000000" w:sz="4" w:space="0"/>
              <w:left w:val="single" w:color="auto" w:sz="4" w:space="0"/>
              <w:bottom w:val="single" w:color="000000" w:sz="4" w:space="0"/>
              <w:right w:val="single" w:color="000000" w:sz="4" w:space="0"/>
            </w:tcBorders>
            <w:shd w:val="clear" w:color="auto" w:fill="auto"/>
            <w:vAlign w:val="center"/>
          </w:tcPr>
          <w:p w14:paraId="05E31D2D">
            <w:pPr>
              <w:keepNext w:val="0"/>
              <w:keepLines w:val="0"/>
              <w:widowControl/>
              <w:suppressLineNumbers w:val="0"/>
              <w:jc w:val="center"/>
              <w:textAlignment w:val="center"/>
              <w:rPr>
                <w:rFonts w:hint="default" w:ascii="Times New Roman" w:hAnsi="Times New Roman" w:eastAsia="宋体" w:cs="Times New Roman"/>
                <w:b/>
                <w:bCs/>
                <w:color w:val="auto"/>
                <w:kern w:val="0"/>
                <w:sz w:val="22"/>
                <w:szCs w:val="22"/>
                <w:highlight w:val="none"/>
              </w:rPr>
            </w:pPr>
            <w:r>
              <w:rPr>
                <w:rFonts w:hint="default" w:ascii="Times New Roman" w:hAnsi="Times New Roman" w:eastAsia="等线" w:cs="Times New Roman"/>
                <w:b/>
                <w:bCs/>
                <w:i w:val="0"/>
                <w:iCs w:val="0"/>
                <w:color w:val="auto"/>
                <w:spacing w:val="-4"/>
                <w:kern w:val="0"/>
                <w:sz w:val="22"/>
                <w:szCs w:val="22"/>
                <w:highlight w:val="none"/>
                <w:u w:val="none"/>
                <w:lang w:val="en-US" w:eastAsia="zh-CN" w:bidi="ar"/>
              </w:rPr>
              <w:t>29%</w:t>
            </w:r>
          </w:p>
        </w:tc>
        <w:tc>
          <w:tcPr>
            <w:tcW w:w="666" w:type="dxa"/>
            <w:tcBorders>
              <w:top w:val="single" w:color="000000" w:sz="4" w:space="0"/>
              <w:left w:val="single" w:color="000000" w:sz="4" w:space="0"/>
              <w:bottom w:val="single" w:color="000000" w:sz="4" w:space="0"/>
              <w:right w:val="single" w:color="auto" w:sz="4" w:space="0"/>
            </w:tcBorders>
            <w:shd w:val="clear" w:color="auto" w:fill="auto"/>
            <w:vAlign w:val="center"/>
          </w:tcPr>
          <w:p w14:paraId="774960D9">
            <w:pPr>
              <w:keepNext w:val="0"/>
              <w:keepLines w:val="0"/>
              <w:widowControl/>
              <w:suppressLineNumbers w:val="0"/>
              <w:jc w:val="center"/>
              <w:textAlignment w:val="center"/>
              <w:rPr>
                <w:rFonts w:hint="default" w:ascii="Times New Roman" w:hAnsi="Times New Roman" w:eastAsia="宋体" w:cs="Times New Roman"/>
                <w:b/>
                <w:bCs/>
                <w:color w:val="auto"/>
                <w:sz w:val="22"/>
                <w:szCs w:val="22"/>
                <w:highlight w:val="none"/>
              </w:rPr>
            </w:pPr>
            <w:r>
              <w:rPr>
                <w:rFonts w:hint="default" w:ascii="Times New Roman" w:hAnsi="Times New Roman" w:eastAsia="等线" w:cs="Times New Roman"/>
                <w:b/>
                <w:bCs/>
                <w:i w:val="0"/>
                <w:iCs w:val="0"/>
                <w:color w:val="auto"/>
                <w:spacing w:val="-4"/>
                <w:kern w:val="0"/>
                <w:sz w:val="22"/>
                <w:szCs w:val="22"/>
                <w:highlight w:val="none"/>
                <w:u w:val="none"/>
                <w:lang w:val="en-US" w:eastAsia="zh-CN" w:bidi="ar"/>
              </w:rPr>
              <w:t>10</w:t>
            </w:r>
          </w:p>
        </w:tc>
        <w:tc>
          <w:tcPr>
            <w:tcW w:w="910" w:type="dxa"/>
            <w:tcBorders>
              <w:top w:val="single" w:color="000000" w:sz="4" w:space="0"/>
              <w:left w:val="single" w:color="auto" w:sz="4" w:space="0"/>
              <w:bottom w:val="single" w:color="000000" w:sz="4" w:space="0"/>
              <w:right w:val="single" w:color="000000" w:sz="4" w:space="0"/>
            </w:tcBorders>
            <w:shd w:val="clear" w:color="auto" w:fill="auto"/>
            <w:vAlign w:val="center"/>
          </w:tcPr>
          <w:p w14:paraId="0A07A0B6">
            <w:pPr>
              <w:keepNext w:val="0"/>
              <w:keepLines w:val="0"/>
              <w:widowControl/>
              <w:suppressLineNumbers w:val="0"/>
              <w:jc w:val="center"/>
              <w:textAlignment w:val="center"/>
              <w:rPr>
                <w:rFonts w:hint="default" w:ascii="Times New Roman" w:hAnsi="Times New Roman" w:eastAsia="宋体" w:cs="Times New Roman"/>
                <w:b/>
                <w:bCs/>
                <w:color w:val="auto"/>
                <w:kern w:val="0"/>
                <w:sz w:val="22"/>
                <w:szCs w:val="22"/>
                <w:highlight w:val="none"/>
              </w:rPr>
            </w:pPr>
            <w:r>
              <w:rPr>
                <w:rFonts w:hint="default" w:ascii="Times New Roman" w:hAnsi="Times New Roman" w:eastAsia="等线" w:cs="Times New Roman"/>
                <w:b/>
                <w:bCs/>
                <w:i w:val="0"/>
                <w:iCs w:val="0"/>
                <w:color w:val="auto"/>
                <w:spacing w:val="-4"/>
                <w:kern w:val="0"/>
                <w:sz w:val="22"/>
                <w:szCs w:val="22"/>
                <w:highlight w:val="none"/>
                <w:u w:val="none"/>
                <w:lang w:val="en-US" w:eastAsia="zh-CN" w:bidi="ar"/>
              </w:rPr>
              <w:t>4%</w:t>
            </w:r>
          </w:p>
        </w:tc>
        <w:tc>
          <w:tcPr>
            <w:tcW w:w="666" w:type="dxa"/>
            <w:tcBorders>
              <w:top w:val="single" w:color="000000" w:sz="4" w:space="0"/>
              <w:left w:val="single" w:color="000000" w:sz="4" w:space="0"/>
              <w:bottom w:val="single" w:color="000000" w:sz="4" w:space="0"/>
              <w:right w:val="single" w:color="auto" w:sz="4" w:space="0"/>
            </w:tcBorders>
            <w:shd w:val="clear" w:color="auto" w:fill="auto"/>
            <w:vAlign w:val="center"/>
          </w:tcPr>
          <w:p w14:paraId="51AC9CD2">
            <w:pPr>
              <w:keepNext w:val="0"/>
              <w:keepLines w:val="0"/>
              <w:widowControl/>
              <w:suppressLineNumbers w:val="0"/>
              <w:jc w:val="center"/>
              <w:textAlignment w:val="center"/>
              <w:rPr>
                <w:rFonts w:hint="default" w:ascii="Times New Roman" w:hAnsi="Times New Roman" w:eastAsia="宋体" w:cs="Times New Roman"/>
                <w:b/>
                <w:bCs/>
                <w:color w:val="auto"/>
                <w:sz w:val="22"/>
                <w:szCs w:val="22"/>
                <w:highlight w:val="none"/>
              </w:rPr>
            </w:pPr>
            <w:r>
              <w:rPr>
                <w:rFonts w:hint="default" w:ascii="Times New Roman" w:hAnsi="Times New Roman" w:eastAsia="等线" w:cs="Times New Roman"/>
                <w:b/>
                <w:bCs/>
                <w:i w:val="0"/>
                <w:iCs w:val="0"/>
                <w:color w:val="auto"/>
                <w:spacing w:val="-4"/>
                <w:kern w:val="0"/>
                <w:sz w:val="22"/>
                <w:szCs w:val="22"/>
                <w:highlight w:val="none"/>
                <w:u w:val="none"/>
                <w:lang w:val="en-US" w:eastAsia="zh-CN" w:bidi="ar"/>
              </w:rPr>
              <w:t>2</w:t>
            </w:r>
          </w:p>
        </w:tc>
        <w:tc>
          <w:tcPr>
            <w:tcW w:w="799" w:type="dxa"/>
            <w:tcBorders>
              <w:top w:val="single" w:color="000000" w:sz="4" w:space="0"/>
              <w:left w:val="single" w:color="auto" w:sz="4" w:space="0"/>
              <w:bottom w:val="single" w:color="000000" w:sz="4" w:space="0"/>
              <w:right w:val="single" w:color="000000" w:sz="4" w:space="0"/>
            </w:tcBorders>
            <w:shd w:val="clear" w:color="auto" w:fill="auto"/>
            <w:vAlign w:val="center"/>
          </w:tcPr>
          <w:p w14:paraId="0C626E2B">
            <w:pPr>
              <w:keepNext w:val="0"/>
              <w:keepLines w:val="0"/>
              <w:widowControl/>
              <w:suppressLineNumbers w:val="0"/>
              <w:jc w:val="center"/>
              <w:textAlignment w:val="center"/>
              <w:rPr>
                <w:rFonts w:hint="default" w:ascii="Times New Roman" w:hAnsi="Times New Roman" w:eastAsia="宋体" w:cs="Times New Roman"/>
                <w:b/>
                <w:bCs/>
                <w:color w:val="auto"/>
                <w:kern w:val="0"/>
                <w:sz w:val="22"/>
                <w:szCs w:val="22"/>
                <w:highlight w:val="none"/>
              </w:rPr>
            </w:pPr>
            <w:r>
              <w:rPr>
                <w:rFonts w:hint="default" w:ascii="Times New Roman" w:hAnsi="Times New Roman" w:eastAsia="等线" w:cs="Times New Roman"/>
                <w:b/>
                <w:bCs/>
                <w:i w:val="0"/>
                <w:iCs w:val="0"/>
                <w:color w:val="auto"/>
                <w:spacing w:val="-4"/>
                <w:kern w:val="0"/>
                <w:sz w:val="22"/>
                <w:szCs w:val="22"/>
                <w:highlight w:val="none"/>
                <w:u w:val="none"/>
                <w:lang w:val="en-US" w:eastAsia="zh-CN" w:bidi="ar"/>
              </w:rPr>
              <w:t>1%</w:t>
            </w:r>
          </w:p>
        </w:tc>
      </w:tr>
      <w:tr w14:paraId="7535DF1E">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DCD595">
            <w:pPr>
              <w:widowControl/>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rPr>
              <w:t>开发区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710736">
            <w:pPr>
              <w:widowControl/>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rPr>
              <w:t>60</w:t>
            </w:r>
          </w:p>
        </w:tc>
        <w:tc>
          <w:tcPr>
            <w:tcW w:w="672" w:type="dxa"/>
            <w:tcBorders>
              <w:top w:val="single" w:color="000000" w:sz="4" w:space="0"/>
              <w:left w:val="single" w:color="000000" w:sz="4" w:space="0"/>
              <w:bottom w:val="single" w:color="000000" w:sz="4" w:space="0"/>
              <w:right w:val="single" w:color="auto" w:sz="4" w:space="0"/>
            </w:tcBorders>
            <w:shd w:val="clear" w:color="auto" w:fill="auto"/>
            <w:vAlign w:val="center"/>
          </w:tcPr>
          <w:p w14:paraId="35CFAA3C">
            <w:pPr>
              <w:keepNext w:val="0"/>
              <w:keepLines w:val="0"/>
              <w:widowControl/>
              <w:suppressLineNumbers w:val="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57</w:t>
            </w:r>
          </w:p>
        </w:tc>
        <w:tc>
          <w:tcPr>
            <w:tcW w:w="1020" w:type="dxa"/>
            <w:tcBorders>
              <w:top w:val="single" w:color="000000" w:sz="4" w:space="0"/>
              <w:left w:val="single" w:color="auto" w:sz="4" w:space="0"/>
              <w:bottom w:val="single" w:color="000000" w:sz="4" w:space="0"/>
              <w:right w:val="single" w:color="000000" w:sz="4" w:space="0"/>
            </w:tcBorders>
            <w:shd w:val="clear" w:color="auto" w:fill="auto"/>
            <w:vAlign w:val="center"/>
          </w:tcPr>
          <w:p w14:paraId="0C63CEDB">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95%</w:t>
            </w:r>
          </w:p>
        </w:tc>
        <w:tc>
          <w:tcPr>
            <w:tcW w:w="666" w:type="dxa"/>
            <w:tcBorders>
              <w:top w:val="single" w:color="000000" w:sz="4" w:space="0"/>
              <w:left w:val="single" w:color="000000" w:sz="4" w:space="0"/>
              <w:bottom w:val="single" w:color="000000" w:sz="4" w:space="0"/>
              <w:right w:val="single" w:color="auto" w:sz="4" w:space="0"/>
            </w:tcBorders>
            <w:shd w:val="clear" w:color="auto" w:fill="auto"/>
            <w:vAlign w:val="center"/>
          </w:tcPr>
          <w:p w14:paraId="789D5399">
            <w:pPr>
              <w:keepNext w:val="0"/>
              <w:keepLines w:val="0"/>
              <w:widowControl/>
              <w:suppressLineNumbers w:val="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53</w:t>
            </w:r>
          </w:p>
        </w:tc>
        <w:tc>
          <w:tcPr>
            <w:tcW w:w="1021" w:type="dxa"/>
            <w:tcBorders>
              <w:top w:val="single" w:color="000000" w:sz="4" w:space="0"/>
              <w:left w:val="single" w:color="auto" w:sz="4" w:space="0"/>
              <w:bottom w:val="single" w:color="000000" w:sz="4" w:space="0"/>
              <w:right w:val="single" w:color="000000" w:sz="4" w:space="0"/>
            </w:tcBorders>
            <w:shd w:val="clear" w:color="auto" w:fill="auto"/>
            <w:vAlign w:val="center"/>
          </w:tcPr>
          <w:p w14:paraId="61E590A4">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88%</w:t>
            </w:r>
          </w:p>
        </w:tc>
        <w:tc>
          <w:tcPr>
            <w:tcW w:w="666" w:type="dxa"/>
            <w:tcBorders>
              <w:top w:val="single" w:color="000000" w:sz="4" w:space="0"/>
              <w:left w:val="single" w:color="000000" w:sz="4" w:space="0"/>
              <w:bottom w:val="single" w:color="000000" w:sz="4" w:space="0"/>
              <w:right w:val="single" w:color="auto" w:sz="4" w:space="0"/>
            </w:tcBorders>
            <w:shd w:val="clear" w:color="auto" w:fill="auto"/>
            <w:vAlign w:val="center"/>
          </w:tcPr>
          <w:p w14:paraId="7ADBD800">
            <w:pPr>
              <w:keepNext w:val="0"/>
              <w:keepLines w:val="0"/>
              <w:widowControl/>
              <w:suppressLineNumbers w:val="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50</w:t>
            </w:r>
          </w:p>
        </w:tc>
        <w:tc>
          <w:tcPr>
            <w:tcW w:w="1021" w:type="dxa"/>
            <w:tcBorders>
              <w:top w:val="single" w:color="000000" w:sz="4" w:space="0"/>
              <w:left w:val="single" w:color="auto" w:sz="4" w:space="0"/>
              <w:bottom w:val="single" w:color="000000" w:sz="4" w:space="0"/>
              <w:right w:val="single" w:color="000000" w:sz="4" w:space="0"/>
            </w:tcBorders>
            <w:shd w:val="clear" w:color="auto" w:fill="auto"/>
            <w:vAlign w:val="center"/>
          </w:tcPr>
          <w:p w14:paraId="4509713D">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83%</w:t>
            </w:r>
          </w:p>
        </w:tc>
        <w:tc>
          <w:tcPr>
            <w:tcW w:w="666" w:type="dxa"/>
            <w:tcBorders>
              <w:top w:val="single" w:color="000000" w:sz="4" w:space="0"/>
              <w:left w:val="single" w:color="000000" w:sz="4" w:space="0"/>
              <w:bottom w:val="single" w:color="000000" w:sz="4" w:space="0"/>
              <w:right w:val="single" w:color="auto" w:sz="4" w:space="0"/>
            </w:tcBorders>
            <w:shd w:val="clear" w:color="auto" w:fill="auto"/>
            <w:vAlign w:val="center"/>
          </w:tcPr>
          <w:p w14:paraId="66E430F2">
            <w:pPr>
              <w:keepNext w:val="0"/>
              <w:keepLines w:val="0"/>
              <w:widowControl/>
              <w:suppressLineNumbers w:val="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31</w:t>
            </w:r>
          </w:p>
        </w:tc>
        <w:tc>
          <w:tcPr>
            <w:tcW w:w="1021" w:type="dxa"/>
            <w:tcBorders>
              <w:top w:val="single" w:color="000000" w:sz="4" w:space="0"/>
              <w:left w:val="single" w:color="auto" w:sz="4" w:space="0"/>
              <w:bottom w:val="single" w:color="000000" w:sz="4" w:space="0"/>
              <w:right w:val="single" w:color="000000" w:sz="4" w:space="0"/>
            </w:tcBorders>
            <w:shd w:val="clear" w:color="auto" w:fill="auto"/>
            <w:vAlign w:val="center"/>
          </w:tcPr>
          <w:p w14:paraId="12F27C9B">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52%</w:t>
            </w:r>
          </w:p>
        </w:tc>
        <w:tc>
          <w:tcPr>
            <w:tcW w:w="666" w:type="dxa"/>
            <w:tcBorders>
              <w:top w:val="single" w:color="000000" w:sz="4" w:space="0"/>
              <w:left w:val="single" w:color="000000" w:sz="4" w:space="0"/>
              <w:bottom w:val="single" w:color="000000" w:sz="4" w:space="0"/>
              <w:right w:val="single" w:color="auto" w:sz="4" w:space="0"/>
            </w:tcBorders>
            <w:shd w:val="clear" w:color="auto" w:fill="auto"/>
            <w:vAlign w:val="center"/>
          </w:tcPr>
          <w:p w14:paraId="3C367BED">
            <w:pPr>
              <w:keepNext w:val="0"/>
              <w:keepLines w:val="0"/>
              <w:widowControl/>
              <w:suppressLineNumbers w:val="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23</w:t>
            </w:r>
          </w:p>
        </w:tc>
        <w:tc>
          <w:tcPr>
            <w:tcW w:w="1021" w:type="dxa"/>
            <w:tcBorders>
              <w:top w:val="single" w:color="000000" w:sz="4" w:space="0"/>
              <w:left w:val="single" w:color="auto" w:sz="4" w:space="0"/>
              <w:bottom w:val="single" w:color="000000" w:sz="4" w:space="0"/>
              <w:right w:val="single" w:color="000000" w:sz="4" w:space="0"/>
            </w:tcBorders>
            <w:shd w:val="clear" w:color="auto" w:fill="auto"/>
            <w:vAlign w:val="center"/>
          </w:tcPr>
          <w:p w14:paraId="3B042CB6">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38%</w:t>
            </w:r>
          </w:p>
        </w:tc>
        <w:tc>
          <w:tcPr>
            <w:tcW w:w="666" w:type="dxa"/>
            <w:tcBorders>
              <w:top w:val="single" w:color="000000" w:sz="4" w:space="0"/>
              <w:left w:val="single" w:color="000000" w:sz="4" w:space="0"/>
              <w:bottom w:val="single" w:color="000000" w:sz="4" w:space="0"/>
              <w:right w:val="single" w:color="auto" w:sz="4" w:space="0"/>
            </w:tcBorders>
            <w:shd w:val="clear" w:color="auto" w:fill="auto"/>
            <w:vAlign w:val="center"/>
          </w:tcPr>
          <w:p w14:paraId="0F335D74">
            <w:pPr>
              <w:keepNext w:val="0"/>
              <w:keepLines w:val="0"/>
              <w:widowControl/>
              <w:suppressLineNumbers w:val="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3</w:t>
            </w:r>
          </w:p>
        </w:tc>
        <w:tc>
          <w:tcPr>
            <w:tcW w:w="910" w:type="dxa"/>
            <w:tcBorders>
              <w:top w:val="single" w:color="000000" w:sz="4" w:space="0"/>
              <w:left w:val="single" w:color="auto" w:sz="4" w:space="0"/>
              <w:bottom w:val="single" w:color="000000" w:sz="4" w:space="0"/>
              <w:right w:val="single" w:color="000000" w:sz="4" w:space="0"/>
            </w:tcBorders>
            <w:shd w:val="clear" w:color="auto" w:fill="auto"/>
            <w:vAlign w:val="center"/>
          </w:tcPr>
          <w:p w14:paraId="499A087B">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5%</w:t>
            </w:r>
          </w:p>
        </w:tc>
        <w:tc>
          <w:tcPr>
            <w:tcW w:w="666" w:type="dxa"/>
            <w:tcBorders>
              <w:top w:val="single" w:color="000000" w:sz="4" w:space="0"/>
              <w:left w:val="single" w:color="000000" w:sz="4" w:space="0"/>
              <w:bottom w:val="single" w:color="000000" w:sz="4" w:space="0"/>
              <w:right w:val="single" w:color="auto" w:sz="4" w:space="0"/>
            </w:tcBorders>
            <w:shd w:val="clear" w:color="auto" w:fill="auto"/>
            <w:vAlign w:val="center"/>
          </w:tcPr>
          <w:p w14:paraId="506176F3">
            <w:pPr>
              <w:keepNext w:val="0"/>
              <w:keepLines w:val="0"/>
              <w:widowControl/>
              <w:suppressLineNumbers w:val="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1</w:t>
            </w:r>
          </w:p>
        </w:tc>
        <w:tc>
          <w:tcPr>
            <w:tcW w:w="799" w:type="dxa"/>
            <w:tcBorders>
              <w:top w:val="single" w:color="000000" w:sz="4" w:space="0"/>
              <w:left w:val="single" w:color="auto" w:sz="4" w:space="0"/>
              <w:bottom w:val="single" w:color="000000" w:sz="4" w:space="0"/>
              <w:right w:val="single" w:color="000000" w:sz="4" w:space="0"/>
            </w:tcBorders>
            <w:shd w:val="clear" w:color="auto" w:fill="auto"/>
            <w:vAlign w:val="center"/>
          </w:tcPr>
          <w:p w14:paraId="06B54BF9">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2%</w:t>
            </w:r>
          </w:p>
        </w:tc>
      </w:tr>
      <w:tr w14:paraId="159B08DE">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63D286">
            <w:pPr>
              <w:widowControl/>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rPr>
              <w:t>高新区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B6C707">
            <w:pPr>
              <w:widowControl/>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rPr>
              <w:t>74</w:t>
            </w:r>
          </w:p>
        </w:tc>
        <w:tc>
          <w:tcPr>
            <w:tcW w:w="672" w:type="dxa"/>
            <w:tcBorders>
              <w:top w:val="single" w:color="000000" w:sz="4" w:space="0"/>
              <w:left w:val="single" w:color="000000" w:sz="4" w:space="0"/>
              <w:bottom w:val="single" w:color="000000" w:sz="4" w:space="0"/>
              <w:right w:val="single" w:color="auto" w:sz="4" w:space="0"/>
            </w:tcBorders>
            <w:shd w:val="clear" w:color="auto" w:fill="auto"/>
            <w:vAlign w:val="center"/>
          </w:tcPr>
          <w:p w14:paraId="59E5E43C">
            <w:pPr>
              <w:keepNext w:val="0"/>
              <w:keepLines w:val="0"/>
              <w:widowControl/>
              <w:suppressLineNumbers w:val="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60</w:t>
            </w:r>
          </w:p>
        </w:tc>
        <w:tc>
          <w:tcPr>
            <w:tcW w:w="1020" w:type="dxa"/>
            <w:tcBorders>
              <w:top w:val="single" w:color="000000" w:sz="4" w:space="0"/>
              <w:left w:val="single" w:color="auto" w:sz="4" w:space="0"/>
              <w:bottom w:val="single" w:color="000000" w:sz="4" w:space="0"/>
              <w:right w:val="single" w:color="000000" w:sz="4" w:space="0"/>
            </w:tcBorders>
            <w:shd w:val="clear" w:color="auto" w:fill="auto"/>
            <w:vAlign w:val="center"/>
          </w:tcPr>
          <w:p w14:paraId="5B7AFF83">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81%</w:t>
            </w:r>
          </w:p>
        </w:tc>
        <w:tc>
          <w:tcPr>
            <w:tcW w:w="666" w:type="dxa"/>
            <w:tcBorders>
              <w:top w:val="single" w:color="000000" w:sz="4" w:space="0"/>
              <w:left w:val="single" w:color="000000" w:sz="4" w:space="0"/>
              <w:bottom w:val="single" w:color="000000" w:sz="4" w:space="0"/>
              <w:right w:val="single" w:color="auto" w:sz="4" w:space="0"/>
            </w:tcBorders>
            <w:shd w:val="clear" w:color="auto" w:fill="auto"/>
            <w:vAlign w:val="center"/>
          </w:tcPr>
          <w:p w14:paraId="634DC1A4">
            <w:pPr>
              <w:keepNext w:val="0"/>
              <w:keepLines w:val="0"/>
              <w:widowControl/>
              <w:suppressLineNumbers w:val="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43</w:t>
            </w:r>
          </w:p>
        </w:tc>
        <w:tc>
          <w:tcPr>
            <w:tcW w:w="1021" w:type="dxa"/>
            <w:tcBorders>
              <w:top w:val="single" w:color="000000" w:sz="4" w:space="0"/>
              <w:left w:val="single" w:color="auto" w:sz="4" w:space="0"/>
              <w:bottom w:val="single" w:color="000000" w:sz="4" w:space="0"/>
              <w:right w:val="single" w:color="000000" w:sz="4" w:space="0"/>
            </w:tcBorders>
            <w:shd w:val="clear" w:color="auto" w:fill="auto"/>
            <w:vAlign w:val="center"/>
          </w:tcPr>
          <w:p w14:paraId="4198F4CD">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58%</w:t>
            </w:r>
          </w:p>
        </w:tc>
        <w:tc>
          <w:tcPr>
            <w:tcW w:w="666" w:type="dxa"/>
            <w:tcBorders>
              <w:top w:val="single" w:color="000000" w:sz="4" w:space="0"/>
              <w:left w:val="single" w:color="000000" w:sz="4" w:space="0"/>
              <w:bottom w:val="single" w:color="000000" w:sz="4" w:space="0"/>
              <w:right w:val="single" w:color="auto" w:sz="4" w:space="0"/>
            </w:tcBorders>
            <w:shd w:val="clear" w:color="auto" w:fill="auto"/>
            <w:vAlign w:val="center"/>
          </w:tcPr>
          <w:p w14:paraId="1787AED8">
            <w:pPr>
              <w:keepNext w:val="0"/>
              <w:keepLines w:val="0"/>
              <w:widowControl/>
              <w:suppressLineNumbers w:val="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35</w:t>
            </w:r>
          </w:p>
        </w:tc>
        <w:tc>
          <w:tcPr>
            <w:tcW w:w="1021" w:type="dxa"/>
            <w:tcBorders>
              <w:top w:val="single" w:color="000000" w:sz="4" w:space="0"/>
              <w:left w:val="single" w:color="auto" w:sz="4" w:space="0"/>
              <w:bottom w:val="single" w:color="000000" w:sz="4" w:space="0"/>
              <w:right w:val="single" w:color="000000" w:sz="4" w:space="0"/>
            </w:tcBorders>
            <w:shd w:val="clear" w:color="auto" w:fill="auto"/>
            <w:vAlign w:val="center"/>
          </w:tcPr>
          <w:p w14:paraId="0721D8FD">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47%</w:t>
            </w:r>
          </w:p>
        </w:tc>
        <w:tc>
          <w:tcPr>
            <w:tcW w:w="666" w:type="dxa"/>
            <w:tcBorders>
              <w:top w:val="single" w:color="000000" w:sz="4" w:space="0"/>
              <w:left w:val="single" w:color="000000" w:sz="4" w:space="0"/>
              <w:bottom w:val="single" w:color="000000" w:sz="4" w:space="0"/>
              <w:right w:val="single" w:color="auto" w:sz="4" w:space="0"/>
            </w:tcBorders>
            <w:shd w:val="clear" w:color="auto" w:fill="auto"/>
            <w:vAlign w:val="center"/>
          </w:tcPr>
          <w:p w14:paraId="01D9D2B1">
            <w:pPr>
              <w:keepNext w:val="0"/>
              <w:keepLines w:val="0"/>
              <w:widowControl/>
              <w:suppressLineNumbers w:val="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17</w:t>
            </w:r>
          </w:p>
        </w:tc>
        <w:tc>
          <w:tcPr>
            <w:tcW w:w="1021" w:type="dxa"/>
            <w:tcBorders>
              <w:top w:val="single" w:color="000000" w:sz="4" w:space="0"/>
              <w:left w:val="single" w:color="auto" w:sz="4" w:space="0"/>
              <w:bottom w:val="single" w:color="000000" w:sz="4" w:space="0"/>
              <w:right w:val="single" w:color="000000" w:sz="4" w:space="0"/>
            </w:tcBorders>
            <w:shd w:val="clear" w:color="auto" w:fill="auto"/>
            <w:vAlign w:val="center"/>
          </w:tcPr>
          <w:p w14:paraId="72DD20B8">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23%</w:t>
            </w:r>
          </w:p>
        </w:tc>
        <w:tc>
          <w:tcPr>
            <w:tcW w:w="666" w:type="dxa"/>
            <w:tcBorders>
              <w:top w:val="single" w:color="000000" w:sz="4" w:space="0"/>
              <w:left w:val="single" w:color="000000" w:sz="4" w:space="0"/>
              <w:bottom w:val="single" w:color="000000" w:sz="4" w:space="0"/>
              <w:right w:val="single" w:color="auto" w:sz="4" w:space="0"/>
            </w:tcBorders>
            <w:shd w:val="clear" w:color="auto" w:fill="auto"/>
            <w:vAlign w:val="center"/>
          </w:tcPr>
          <w:p w14:paraId="19921BEE">
            <w:pPr>
              <w:keepNext w:val="0"/>
              <w:keepLines w:val="0"/>
              <w:widowControl/>
              <w:suppressLineNumbers w:val="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3</w:t>
            </w:r>
          </w:p>
        </w:tc>
        <w:tc>
          <w:tcPr>
            <w:tcW w:w="1021" w:type="dxa"/>
            <w:tcBorders>
              <w:top w:val="single" w:color="000000" w:sz="4" w:space="0"/>
              <w:left w:val="single" w:color="auto" w:sz="4" w:space="0"/>
              <w:bottom w:val="single" w:color="000000" w:sz="4" w:space="0"/>
              <w:right w:val="single" w:color="000000" w:sz="4" w:space="0"/>
            </w:tcBorders>
            <w:shd w:val="clear" w:color="auto" w:fill="auto"/>
            <w:vAlign w:val="center"/>
          </w:tcPr>
          <w:p w14:paraId="13AFAA2D">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4%</w:t>
            </w:r>
          </w:p>
        </w:tc>
        <w:tc>
          <w:tcPr>
            <w:tcW w:w="666" w:type="dxa"/>
            <w:tcBorders>
              <w:top w:val="single" w:color="000000" w:sz="4" w:space="0"/>
              <w:left w:val="single" w:color="000000" w:sz="4" w:space="0"/>
              <w:bottom w:val="single" w:color="000000" w:sz="4" w:space="0"/>
              <w:right w:val="single" w:color="auto" w:sz="4" w:space="0"/>
            </w:tcBorders>
            <w:shd w:val="clear" w:color="auto" w:fill="auto"/>
            <w:vAlign w:val="center"/>
          </w:tcPr>
          <w:p w14:paraId="0C413307">
            <w:pPr>
              <w:keepNext w:val="0"/>
              <w:keepLines w:val="0"/>
              <w:widowControl/>
              <w:suppressLineNumbers w:val="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1</w:t>
            </w:r>
          </w:p>
        </w:tc>
        <w:tc>
          <w:tcPr>
            <w:tcW w:w="910" w:type="dxa"/>
            <w:tcBorders>
              <w:top w:val="single" w:color="000000" w:sz="4" w:space="0"/>
              <w:left w:val="single" w:color="auto" w:sz="4" w:space="0"/>
              <w:bottom w:val="single" w:color="000000" w:sz="4" w:space="0"/>
              <w:right w:val="single" w:color="000000" w:sz="4" w:space="0"/>
            </w:tcBorders>
            <w:shd w:val="clear" w:color="auto" w:fill="auto"/>
            <w:vAlign w:val="center"/>
          </w:tcPr>
          <w:p w14:paraId="7C1B6633">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1%</w:t>
            </w:r>
          </w:p>
        </w:tc>
        <w:tc>
          <w:tcPr>
            <w:tcW w:w="666" w:type="dxa"/>
            <w:tcBorders>
              <w:top w:val="single" w:color="000000" w:sz="4" w:space="0"/>
              <w:left w:val="single" w:color="000000" w:sz="4" w:space="0"/>
              <w:bottom w:val="single" w:color="000000" w:sz="4" w:space="0"/>
              <w:right w:val="single" w:color="auto" w:sz="4" w:space="0"/>
            </w:tcBorders>
            <w:shd w:val="clear" w:color="auto" w:fill="auto"/>
            <w:vAlign w:val="center"/>
          </w:tcPr>
          <w:p w14:paraId="0D5E980B">
            <w:pPr>
              <w:keepNext w:val="0"/>
              <w:keepLines w:val="0"/>
              <w:widowControl/>
              <w:suppressLineNumbers w:val="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1</w:t>
            </w:r>
          </w:p>
        </w:tc>
        <w:tc>
          <w:tcPr>
            <w:tcW w:w="799" w:type="dxa"/>
            <w:tcBorders>
              <w:top w:val="single" w:color="000000" w:sz="4" w:space="0"/>
              <w:left w:val="single" w:color="auto" w:sz="4" w:space="0"/>
              <w:bottom w:val="single" w:color="000000" w:sz="4" w:space="0"/>
              <w:right w:val="single" w:color="000000" w:sz="4" w:space="0"/>
            </w:tcBorders>
            <w:shd w:val="clear" w:color="auto" w:fill="auto"/>
            <w:vAlign w:val="center"/>
          </w:tcPr>
          <w:p w14:paraId="350A34E7">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1%</w:t>
            </w:r>
          </w:p>
        </w:tc>
      </w:tr>
      <w:tr w14:paraId="58CD9B1E">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5CB0CE">
            <w:pPr>
              <w:widowControl/>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rPr>
              <w:t>花桥开发区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CE97B8">
            <w:pPr>
              <w:widowControl/>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rPr>
              <w:t>19</w:t>
            </w:r>
          </w:p>
        </w:tc>
        <w:tc>
          <w:tcPr>
            <w:tcW w:w="672" w:type="dxa"/>
            <w:tcBorders>
              <w:top w:val="single" w:color="000000" w:sz="4" w:space="0"/>
              <w:left w:val="single" w:color="000000" w:sz="4" w:space="0"/>
              <w:bottom w:val="single" w:color="000000" w:sz="4" w:space="0"/>
              <w:right w:val="single" w:color="auto" w:sz="4" w:space="0"/>
            </w:tcBorders>
            <w:shd w:val="clear" w:color="auto" w:fill="auto"/>
            <w:vAlign w:val="center"/>
          </w:tcPr>
          <w:p w14:paraId="36BF957B">
            <w:pPr>
              <w:keepNext w:val="0"/>
              <w:keepLines w:val="0"/>
              <w:widowControl/>
              <w:suppressLineNumbers w:val="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19</w:t>
            </w:r>
          </w:p>
        </w:tc>
        <w:tc>
          <w:tcPr>
            <w:tcW w:w="1020" w:type="dxa"/>
            <w:tcBorders>
              <w:top w:val="single" w:color="000000" w:sz="4" w:space="0"/>
              <w:left w:val="single" w:color="auto" w:sz="4" w:space="0"/>
              <w:bottom w:val="single" w:color="000000" w:sz="4" w:space="0"/>
              <w:right w:val="single" w:color="000000" w:sz="4" w:space="0"/>
            </w:tcBorders>
            <w:shd w:val="clear" w:color="auto" w:fill="auto"/>
            <w:vAlign w:val="center"/>
          </w:tcPr>
          <w:p w14:paraId="74C7B1C7">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100%</w:t>
            </w:r>
          </w:p>
        </w:tc>
        <w:tc>
          <w:tcPr>
            <w:tcW w:w="666" w:type="dxa"/>
            <w:tcBorders>
              <w:top w:val="single" w:color="000000" w:sz="4" w:space="0"/>
              <w:left w:val="single" w:color="000000" w:sz="4" w:space="0"/>
              <w:bottom w:val="single" w:color="000000" w:sz="4" w:space="0"/>
              <w:right w:val="single" w:color="auto" w:sz="4" w:space="0"/>
            </w:tcBorders>
            <w:shd w:val="clear" w:color="auto" w:fill="auto"/>
            <w:vAlign w:val="center"/>
          </w:tcPr>
          <w:p w14:paraId="283057AB">
            <w:pPr>
              <w:keepNext w:val="0"/>
              <w:keepLines w:val="0"/>
              <w:widowControl/>
              <w:suppressLineNumbers w:val="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19</w:t>
            </w:r>
          </w:p>
        </w:tc>
        <w:tc>
          <w:tcPr>
            <w:tcW w:w="1021" w:type="dxa"/>
            <w:tcBorders>
              <w:top w:val="single" w:color="000000" w:sz="4" w:space="0"/>
              <w:left w:val="single" w:color="auto" w:sz="4" w:space="0"/>
              <w:bottom w:val="single" w:color="000000" w:sz="4" w:space="0"/>
              <w:right w:val="single" w:color="000000" w:sz="4" w:space="0"/>
            </w:tcBorders>
            <w:shd w:val="clear" w:color="auto" w:fill="auto"/>
            <w:vAlign w:val="center"/>
          </w:tcPr>
          <w:p w14:paraId="60D99111">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100%</w:t>
            </w:r>
          </w:p>
        </w:tc>
        <w:tc>
          <w:tcPr>
            <w:tcW w:w="666" w:type="dxa"/>
            <w:tcBorders>
              <w:top w:val="single" w:color="000000" w:sz="4" w:space="0"/>
              <w:left w:val="single" w:color="000000" w:sz="4" w:space="0"/>
              <w:bottom w:val="single" w:color="000000" w:sz="4" w:space="0"/>
              <w:right w:val="single" w:color="auto" w:sz="4" w:space="0"/>
            </w:tcBorders>
            <w:shd w:val="clear" w:color="auto" w:fill="auto"/>
            <w:vAlign w:val="center"/>
          </w:tcPr>
          <w:p w14:paraId="65B5EB0B">
            <w:pPr>
              <w:keepNext w:val="0"/>
              <w:keepLines w:val="0"/>
              <w:widowControl/>
              <w:suppressLineNumbers w:val="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19</w:t>
            </w:r>
          </w:p>
        </w:tc>
        <w:tc>
          <w:tcPr>
            <w:tcW w:w="1021" w:type="dxa"/>
            <w:tcBorders>
              <w:top w:val="single" w:color="000000" w:sz="4" w:space="0"/>
              <w:left w:val="single" w:color="auto" w:sz="4" w:space="0"/>
              <w:bottom w:val="single" w:color="000000" w:sz="4" w:space="0"/>
              <w:right w:val="single" w:color="000000" w:sz="4" w:space="0"/>
            </w:tcBorders>
            <w:shd w:val="clear" w:color="auto" w:fill="auto"/>
            <w:vAlign w:val="center"/>
          </w:tcPr>
          <w:p w14:paraId="4F0AA14E">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100%</w:t>
            </w:r>
          </w:p>
        </w:tc>
        <w:tc>
          <w:tcPr>
            <w:tcW w:w="666" w:type="dxa"/>
            <w:tcBorders>
              <w:top w:val="single" w:color="000000" w:sz="4" w:space="0"/>
              <w:left w:val="single" w:color="000000" w:sz="4" w:space="0"/>
              <w:bottom w:val="single" w:color="000000" w:sz="4" w:space="0"/>
              <w:right w:val="single" w:color="auto" w:sz="4" w:space="0"/>
            </w:tcBorders>
            <w:shd w:val="clear" w:color="auto" w:fill="auto"/>
            <w:vAlign w:val="center"/>
          </w:tcPr>
          <w:p w14:paraId="4FE42AFC">
            <w:pPr>
              <w:keepNext w:val="0"/>
              <w:keepLines w:val="0"/>
              <w:widowControl/>
              <w:suppressLineNumbers w:val="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14</w:t>
            </w:r>
          </w:p>
        </w:tc>
        <w:tc>
          <w:tcPr>
            <w:tcW w:w="1021" w:type="dxa"/>
            <w:tcBorders>
              <w:top w:val="single" w:color="000000" w:sz="4" w:space="0"/>
              <w:left w:val="single" w:color="auto" w:sz="4" w:space="0"/>
              <w:bottom w:val="single" w:color="000000" w:sz="4" w:space="0"/>
              <w:right w:val="single" w:color="000000" w:sz="4" w:space="0"/>
            </w:tcBorders>
            <w:shd w:val="clear" w:color="auto" w:fill="auto"/>
            <w:vAlign w:val="center"/>
          </w:tcPr>
          <w:p w14:paraId="41ACFAA7">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74%</w:t>
            </w:r>
          </w:p>
        </w:tc>
        <w:tc>
          <w:tcPr>
            <w:tcW w:w="666" w:type="dxa"/>
            <w:tcBorders>
              <w:top w:val="single" w:color="000000" w:sz="4" w:space="0"/>
              <w:left w:val="single" w:color="000000" w:sz="4" w:space="0"/>
              <w:bottom w:val="single" w:color="000000" w:sz="4" w:space="0"/>
              <w:right w:val="single" w:color="auto" w:sz="4" w:space="0"/>
            </w:tcBorders>
            <w:shd w:val="clear" w:color="auto" w:fill="auto"/>
            <w:vAlign w:val="center"/>
          </w:tcPr>
          <w:p w14:paraId="5FAFC113">
            <w:pPr>
              <w:keepNext w:val="0"/>
              <w:keepLines w:val="0"/>
              <w:widowControl/>
              <w:suppressLineNumbers w:val="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8</w:t>
            </w:r>
          </w:p>
        </w:tc>
        <w:tc>
          <w:tcPr>
            <w:tcW w:w="1021" w:type="dxa"/>
            <w:tcBorders>
              <w:top w:val="single" w:color="000000" w:sz="4" w:space="0"/>
              <w:left w:val="single" w:color="auto" w:sz="4" w:space="0"/>
              <w:bottom w:val="single" w:color="000000" w:sz="4" w:space="0"/>
              <w:right w:val="single" w:color="000000" w:sz="4" w:space="0"/>
            </w:tcBorders>
            <w:shd w:val="clear" w:color="auto" w:fill="auto"/>
            <w:vAlign w:val="center"/>
          </w:tcPr>
          <w:p w14:paraId="486DB7D1">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42%</w:t>
            </w:r>
          </w:p>
        </w:tc>
        <w:tc>
          <w:tcPr>
            <w:tcW w:w="666" w:type="dxa"/>
            <w:tcBorders>
              <w:top w:val="single" w:color="000000" w:sz="4" w:space="0"/>
              <w:left w:val="single" w:color="000000" w:sz="4" w:space="0"/>
              <w:bottom w:val="single" w:color="000000" w:sz="4" w:space="0"/>
              <w:right w:val="single" w:color="auto" w:sz="4" w:space="0"/>
            </w:tcBorders>
            <w:shd w:val="clear" w:color="auto" w:fill="auto"/>
            <w:vAlign w:val="center"/>
          </w:tcPr>
          <w:p w14:paraId="177FEACE">
            <w:pPr>
              <w:keepNext w:val="0"/>
              <w:keepLines w:val="0"/>
              <w:widowControl/>
              <w:suppressLineNumbers w:val="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0</w:t>
            </w:r>
          </w:p>
        </w:tc>
        <w:tc>
          <w:tcPr>
            <w:tcW w:w="910" w:type="dxa"/>
            <w:tcBorders>
              <w:top w:val="single" w:color="000000" w:sz="4" w:space="0"/>
              <w:left w:val="single" w:color="auto" w:sz="4" w:space="0"/>
              <w:bottom w:val="single" w:color="000000" w:sz="4" w:space="0"/>
              <w:right w:val="single" w:color="000000" w:sz="4" w:space="0"/>
            </w:tcBorders>
            <w:shd w:val="clear" w:color="auto" w:fill="auto"/>
            <w:vAlign w:val="center"/>
          </w:tcPr>
          <w:p w14:paraId="112BA3C5">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0%</w:t>
            </w:r>
          </w:p>
        </w:tc>
        <w:tc>
          <w:tcPr>
            <w:tcW w:w="666" w:type="dxa"/>
            <w:tcBorders>
              <w:top w:val="single" w:color="000000" w:sz="4" w:space="0"/>
              <w:left w:val="single" w:color="000000" w:sz="4" w:space="0"/>
              <w:bottom w:val="single" w:color="000000" w:sz="4" w:space="0"/>
              <w:right w:val="single" w:color="auto" w:sz="4" w:space="0"/>
            </w:tcBorders>
            <w:shd w:val="clear" w:color="auto" w:fill="auto"/>
            <w:vAlign w:val="center"/>
          </w:tcPr>
          <w:p w14:paraId="6B545F29">
            <w:pPr>
              <w:keepNext w:val="0"/>
              <w:keepLines w:val="0"/>
              <w:widowControl/>
              <w:suppressLineNumbers w:val="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0</w:t>
            </w:r>
          </w:p>
        </w:tc>
        <w:tc>
          <w:tcPr>
            <w:tcW w:w="799" w:type="dxa"/>
            <w:tcBorders>
              <w:top w:val="single" w:color="000000" w:sz="4" w:space="0"/>
              <w:left w:val="single" w:color="auto" w:sz="4" w:space="0"/>
              <w:bottom w:val="single" w:color="000000" w:sz="4" w:space="0"/>
              <w:right w:val="single" w:color="000000" w:sz="4" w:space="0"/>
            </w:tcBorders>
            <w:shd w:val="clear" w:color="auto" w:fill="auto"/>
            <w:vAlign w:val="center"/>
          </w:tcPr>
          <w:p w14:paraId="4E364B80">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0%</w:t>
            </w:r>
          </w:p>
        </w:tc>
      </w:tr>
      <w:tr w14:paraId="1B124F5D">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71704B">
            <w:pPr>
              <w:widowControl/>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rPr>
              <w:t>张浦镇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D51891">
            <w:pPr>
              <w:widowControl/>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rPr>
              <w:t>14</w:t>
            </w:r>
          </w:p>
        </w:tc>
        <w:tc>
          <w:tcPr>
            <w:tcW w:w="672" w:type="dxa"/>
            <w:tcBorders>
              <w:top w:val="single" w:color="000000" w:sz="4" w:space="0"/>
              <w:left w:val="single" w:color="000000" w:sz="4" w:space="0"/>
              <w:bottom w:val="single" w:color="000000" w:sz="4" w:space="0"/>
              <w:right w:val="single" w:color="auto" w:sz="4" w:space="0"/>
            </w:tcBorders>
            <w:shd w:val="clear" w:color="auto" w:fill="auto"/>
            <w:vAlign w:val="center"/>
          </w:tcPr>
          <w:p w14:paraId="6A6187E2">
            <w:pPr>
              <w:keepNext w:val="0"/>
              <w:keepLines w:val="0"/>
              <w:widowControl/>
              <w:suppressLineNumbers w:val="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14</w:t>
            </w:r>
          </w:p>
        </w:tc>
        <w:tc>
          <w:tcPr>
            <w:tcW w:w="1020" w:type="dxa"/>
            <w:tcBorders>
              <w:top w:val="single" w:color="000000" w:sz="4" w:space="0"/>
              <w:left w:val="single" w:color="auto" w:sz="4" w:space="0"/>
              <w:bottom w:val="single" w:color="000000" w:sz="4" w:space="0"/>
              <w:right w:val="single" w:color="000000" w:sz="4" w:space="0"/>
            </w:tcBorders>
            <w:shd w:val="clear" w:color="auto" w:fill="auto"/>
            <w:vAlign w:val="center"/>
          </w:tcPr>
          <w:p w14:paraId="66FE2982">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100%</w:t>
            </w:r>
          </w:p>
        </w:tc>
        <w:tc>
          <w:tcPr>
            <w:tcW w:w="666" w:type="dxa"/>
            <w:tcBorders>
              <w:top w:val="single" w:color="000000" w:sz="4" w:space="0"/>
              <w:left w:val="single" w:color="000000" w:sz="4" w:space="0"/>
              <w:bottom w:val="single" w:color="000000" w:sz="4" w:space="0"/>
              <w:right w:val="single" w:color="auto" w:sz="4" w:space="0"/>
            </w:tcBorders>
            <w:shd w:val="clear" w:color="auto" w:fill="auto"/>
            <w:vAlign w:val="center"/>
          </w:tcPr>
          <w:p w14:paraId="600FAF39">
            <w:pPr>
              <w:keepNext w:val="0"/>
              <w:keepLines w:val="0"/>
              <w:widowControl/>
              <w:suppressLineNumbers w:val="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13</w:t>
            </w:r>
          </w:p>
        </w:tc>
        <w:tc>
          <w:tcPr>
            <w:tcW w:w="1021" w:type="dxa"/>
            <w:tcBorders>
              <w:top w:val="single" w:color="000000" w:sz="4" w:space="0"/>
              <w:left w:val="single" w:color="auto" w:sz="4" w:space="0"/>
              <w:bottom w:val="single" w:color="000000" w:sz="4" w:space="0"/>
              <w:right w:val="single" w:color="000000" w:sz="4" w:space="0"/>
            </w:tcBorders>
            <w:shd w:val="clear" w:color="auto" w:fill="auto"/>
            <w:vAlign w:val="center"/>
          </w:tcPr>
          <w:p w14:paraId="2E2BEE0A">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93%</w:t>
            </w:r>
          </w:p>
        </w:tc>
        <w:tc>
          <w:tcPr>
            <w:tcW w:w="666" w:type="dxa"/>
            <w:tcBorders>
              <w:top w:val="single" w:color="000000" w:sz="4" w:space="0"/>
              <w:left w:val="single" w:color="000000" w:sz="4" w:space="0"/>
              <w:bottom w:val="single" w:color="000000" w:sz="4" w:space="0"/>
              <w:right w:val="single" w:color="auto" w:sz="4" w:space="0"/>
            </w:tcBorders>
            <w:shd w:val="clear" w:color="auto" w:fill="auto"/>
            <w:vAlign w:val="center"/>
          </w:tcPr>
          <w:p w14:paraId="2088D974">
            <w:pPr>
              <w:keepNext w:val="0"/>
              <w:keepLines w:val="0"/>
              <w:widowControl/>
              <w:suppressLineNumbers w:val="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10</w:t>
            </w:r>
          </w:p>
        </w:tc>
        <w:tc>
          <w:tcPr>
            <w:tcW w:w="1021" w:type="dxa"/>
            <w:tcBorders>
              <w:top w:val="single" w:color="000000" w:sz="4" w:space="0"/>
              <w:left w:val="single" w:color="auto" w:sz="4" w:space="0"/>
              <w:bottom w:val="single" w:color="000000" w:sz="4" w:space="0"/>
              <w:right w:val="single" w:color="000000" w:sz="4" w:space="0"/>
            </w:tcBorders>
            <w:shd w:val="clear" w:color="auto" w:fill="auto"/>
            <w:vAlign w:val="center"/>
          </w:tcPr>
          <w:p w14:paraId="2F61042F">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71%</w:t>
            </w:r>
          </w:p>
        </w:tc>
        <w:tc>
          <w:tcPr>
            <w:tcW w:w="666" w:type="dxa"/>
            <w:tcBorders>
              <w:top w:val="single" w:color="000000" w:sz="4" w:space="0"/>
              <w:left w:val="single" w:color="000000" w:sz="4" w:space="0"/>
              <w:bottom w:val="single" w:color="000000" w:sz="4" w:space="0"/>
              <w:right w:val="single" w:color="auto" w:sz="4" w:space="0"/>
            </w:tcBorders>
            <w:shd w:val="clear" w:color="auto" w:fill="auto"/>
            <w:vAlign w:val="center"/>
          </w:tcPr>
          <w:p w14:paraId="53BF0B46">
            <w:pPr>
              <w:keepNext w:val="0"/>
              <w:keepLines w:val="0"/>
              <w:widowControl/>
              <w:suppressLineNumbers w:val="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9</w:t>
            </w:r>
          </w:p>
        </w:tc>
        <w:tc>
          <w:tcPr>
            <w:tcW w:w="1021" w:type="dxa"/>
            <w:tcBorders>
              <w:top w:val="single" w:color="000000" w:sz="4" w:space="0"/>
              <w:left w:val="single" w:color="auto" w:sz="4" w:space="0"/>
              <w:bottom w:val="single" w:color="000000" w:sz="4" w:space="0"/>
              <w:right w:val="single" w:color="000000" w:sz="4" w:space="0"/>
            </w:tcBorders>
            <w:shd w:val="clear" w:color="auto" w:fill="auto"/>
            <w:vAlign w:val="center"/>
          </w:tcPr>
          <w:p w14:paraId="60C601DC">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64%</w:t>
            </w:r>
          </w:p>
        </w:tc>
        <w:tc>
          <w:tcPr>
            <w:tcW w:w="666" w:type="dxa"/>
            <w:tcBorders>
              <w:top w:val="single" w:color="000000" w:sz="4" w:space="0"/>
              <w:left w:val="single" w:color="000000" w:sz="4" w:space="0"/>
              <w:bottom w:val="single" w:color="000000" w:sz="4" w:space="0"/>
              <w:right w:val="single" w:color="auto" w:sz="4" w:space="0"/>
            </w:tcBorders>
            <w:shd w:val="clear" w:color="auto" w:fill="auto"/>
            <w:vAlign w:val="center"/>
          </w:tcPr>
          <w:p w14:paraId="19DC3975">
            <w:pPr>
              <w:keepNext w:val="0"/>
              <w:keepLines w:val="0"/>
              <w:widowControl/>
              <w:suppressLineNumbers w:val="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7</w:t>
            </w:r>
          </w:p>
        </w:tc>
        <w:tc>
          <w:tcPr>
            <w:tcW w:w="1021" w:type="dxa"/>
            <w:tcBorders>
              <w:top w:val="single" w:color="000000" w:sz="4" w:space="0"/>
              <w:left w:val="single" w:color="auto" w:sz="4" w:space="0"/>
              <w:bottom w:val="single" w:color="000000" w:sz="4" w:space="0"/>
              <w:right w:val="single" w:color="000000" w:sz="4" w:space="0"/>
            </w:tcBorders>
            <w:shd w:val="clear" w:color="auto" w:fill="auto"/>
            <w:vAlign w:val="center"/>
          </w:tcPr>
          <w:p w14:paraId="65A3FF82">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50%</w:t>
            </w:r>
          </w:p>
        </w:tc>
        <w:tc>
          <w:tcPr>
            <w:tcW w:w="666" w:type="dxa"/>
            <w:tcBorders>
              <w:top w:val="single" w:color="000000" w:sz="4" w:space="0"/>
              <w:left w:val="single" w:color="000000" w:sz="4" w:space="0"/>
              <w:bottom w:val="single" w:color="000000" w:sz="4" w:space="0"/>
              <w:right w:val="single" w:color="auto" w:sz="4" w:space="0"/>
            </w:tcBorders>
            <w:shd w:val="clear" w:color="auto" w:fill="auto"/>
            <w:vAlign w:val="center"/>
          </w:tcPr>
          <w:p w14:paraId="75C5B71F">
            <w:pPr>
              <w:keepNext w:val="0"/>
              <w:keepLines w:val="0"/>
              <w:widowControl/>
              <w:suppressLineNumbers w:val="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2</w:t>
            </w:r>
          </w:p>
        </w:tc>
        <w:tc>
          <w:tcPr>
            <w:tcW w:w="910" w:type="dxa"/>
            <w:tcBorders>
              <w:top w:val="single" w:color="000000" w:sz="4" w:space="0"/>
              <w:left w:val="single" w:color="auto" w:sz="4" w:space="0"/>
              <w:bottom w:val="single" w:color="000000" w:sz="4" w:space="0"/>
              <w:right w:val="single" w:color="000000" w:sz="4" w:space="0"/>
            </w:tcBorders>
            <w:shd w:val="clear" w:color="auto" w:fill="auto"/>
            <w:vAlign w:val="center"/>
          </w:tcPr>
          <w:p w14:paraId="6793CD4C">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14%</w:t>
            </w:r>
          </w:p>
        </w:tc>
        <w:tc>
          <w:tcPr>
            <w:tcW w:w="666" w:type="dxa"/>
            <w:tcBorders>
              <w:top w:val="single" w:color="000000" w:sz="4" w:space="0"/>
              <w:left w:val="single" w:color="000000" w:sz="4" w:space="0"/>
              <w:bottom w:val="single" w:color="000000" w:sz="4" w:space="0"/>
              <w:right w:val="single" w:color="auto" w:sz="4" w:space="0"/>
            </w:tcBorders>
            <w:shd w:val="clear" w:color="auto" w:fill="auto"/>
            <w:vAlign w:val="center"/>
          </w:tcPr>
          <w:p w14:paraId="0C9ADE3F">
            <w:pPr>
              <w:keepNext w:val="0"/>
              <w:keepLines w:val="0"/>
              <w:widowControl/>
              <w:suppressLineNumbers w:val="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0</w:t>
            </w:r>
          </w:p>
        </w:tc>
        <w:tc>
          <w:tcPr>
            <w:tcW w:w="799" w:type="dxa"/>
            <w:tcBorders>
              <w:top w:val="single" w:color="000000" w:sz="4" w:space="0"/>
              <w:left w:val="single" w:color="auto" w:sz="4" w:space="0"/>
              <w:bottom w:val="single" w:color="000000" w:sz="4" w:space="0"/>
              <w:right w:val="single" w:color="000000" w:sz="4" w:space="0"/>
            </w:tcBorders>
            <w:shd w:val="clear" w:color="auto" w:fill="auto"/>
            <w:vAlign w:val="center"/>
          </w:tcPr>
          <w:p w14:paraId="40840A3A">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0%</w:t>
            </w:r>
          </w:p>
        </w:tc>
      </w:tr>
      <w:tr w14:paraId="314AC147">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EC659">
            <w:pPr>
              <w:widowControl/>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rPr>
              <w:t>周市镇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0C02C4">
            <w:pPr>
              <w:widowControl/>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rPr>
              <w:t>26</w:t>
            </w:r>
          </w:p>
        </w:tc>
        <w:tc>
          <w:tcPr>
            <w:tcW w:w="672" w:type="dxa"/>
            <w:tcBorders>
              <w:top w:val="single" w:color="000000" w:sz="4" w:space="0"/>
              <w:left w:val="single" w:color="000000" w:sz="4" w:space="0"/>
              <w:bottom w:val="single" w:color="000000" w:sz="4" w:space="0"/>
              <w:right w:val="single" w:color="auto" w:sz="4" w:space="0"/>
            </w:tcBorders>
            <w:shd w:val="clear" w:color="auto" w:fill="auto"/>
            <w:vAlign w:val="center"/>
          </w:tcPr>
          <w:p w14:paraId="0AFBFB7C">
            <w:pPr>
              <w:keepNext w:val="0"/>
              <w:keepLines w:val="0"/>
              <w:widowControl/>
              <w:suppressLineNumbers w:val="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26</w:t>
            </w:r>
          </w:p>
        </w:tc>
        <w:tc>
          <w:tcPr>
            <w:tcW w:w="1020" w:type="dxa"/>
            <w:tcBorders>
              <w:top w:val="single" w:color="000000" w:sz="4" w:space="0"/>
              <w:left w:val="single" w:color="auto" w:sz="4" w:space="0"/>
              <w:bottom w:val="single" w:color="000000" w:sz="4" w:space="0"/>
              <w:right w:val="single" w:color="000000" w:sz="4" w:space="0"/>
            </w:tcBorders>
            <w:shd w:val="clear" w:color="auto" w:fill="auto"/>
            <w:vAlign w:val="center"/>
          </w:tcPr>
          <w:p w14:paraId="2C409BCF">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100%</w:t>
            </w:r>
          </w:p>
        </w:tc>
        <w:tc>
          <w:tcPr>
            <w:tcW w:w="666" w:type="dxa"/>
            <w:tcBorders>
              <w:top w:val="single" w:color="000000" w:sz="4" w:space="0"/>
              <w:left w:val="single" w:color="000000" w:sz="4" w:space="0"/>
              <w:bottom w:val="single" w:color="000000" w:sz="4" w:space="0"/>
              <w:right w:val="single" w:color="auto" w:sz="4" w:space="0"/>
            </w:tcBorders>
            <w:shd w:val="clear" w:color="auto" w:fill="auto"/>
            <w:vAlign w:val="center"/>
          </w:tcPr>
          <w:p w14:paraId="0B7FC6A0">
            <w:pPr>
              <w:keepNext w:val="0"/>
              <w:keepLines w:val="0"/>
              <w:widowControl/>
              <w:suppressLineNumbers w:val="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26</w:t>
            </w:r>
          </w:p>
        </w:tc>
        <w:tc>
          <w:tcPr>
            <w:tcW w:w="1021" w:type="dxa"/>
            <w:tcBorders>
              <w:top w:val="single" w:color="000000" w:sz="4" w:space="0"/>
              <w:left w:val="single" w:color="auto" w:sz="4" w:space="0"/>
              <w:bottom w:val="single" w:color="000000" w:sz="4" w:space="0"/>
              <w:right w:val="single" w:color="000000" w:sz="4" w:space="0"/>
            </w:tcBorders>
            <w:shd w:val="clear" w:color="auto" w:fill="auto"/>
            <w:vAlign w:val="center"/>
          </w:tcPr>
          <w:p w14:paraId="328C46CF">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100%</w:t>
            </w:r>
          </w:p>
        </w:tc>
        <w:tc>
          <w:tcPr>
            <w:tcW w:w="666" w:type="dxa"/>
            <w:tcBorders>
              <w:top w:val="single" w:color="000000" w:sz="4" w:space="0"/>
              <w:left w:val="single" w:color="000000" w:sz="4" w:space="0"/>
              <w:bottom w:val="single" w:color="000000" w:sz="4" w:space="0"/>
              <w:right w:val="single" w:color="auto" w:sz="4" w:space="0"/>
            </w:tcBorders>
            <w:shd w:val="clear" w:color="auto" w:fill="auto"/>
            <w:vAlign w:val="center"/>
          </w:tcPr>
          <w:p w14:paraId="6DEA11D2">
            <w:pPr>
              <w:keepNext w:val="0"/>
              <w:keepLines w:val="0"/>
              <w:widowControl/>
              <w:suppressLineNumbers w:val="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25</w:t>
            </w:r>
          </w:p>
        </w:tc>
        <w:tc>
          <w:tcPr>
            <w:tcW w:w="1021" w:type="dxa"/>
            <w:tcBorders>
              <w:top w:val="single" w:color="000000" w:sz="4" w:space="0"/>
              <w:left w:val="single" w:color="auto" w:sz="4" w:space="0"/>
              <w:bottom w:val="single" w:color="000000" w:sz="4" w:space="0"/>
              <w:right w:val="single" w:color="000000" w:sz="4" w:space="0"/>
            </w:tcBorders>
            <w:shd w:val="clear" w:color="auto" w:fill="auto"/>
            <w:vAlign w:val="center"/>
          </w:tcPr>
          <w:p w14:paraId="0944875D">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96%</w:t>
            </w:r>
          </w:p>
        </w:tc>
        <w:tc>
          <w:tcPr>
            <w:tcW w:w="666" w:type="dxa"/>
            <w:tcBorders>
              <w:top w:val="single" w:color="000000" w:sz="4" w:space="0"/>
              <w:left w:val="single" w:color="000000" w:sz="4" w:space="0"/>
              <w:bottom w:val="single" w:color="000000" w:sz="4" w:space="0"/>
              <w:right w:val="single" w:color="auto" w:sz="4" w:space="0"/>
            </w:tcBorders>
            <w:shd w:val="clear" w:color="auto" w:fill="auto"/>
            <w:vAlign w:val="center"/>
          </w:tcPr>
          <w:p w14:paraId="111B598C">
            <w:pPr>
              <w:keepNext w:val="0"/>
              <w:keepLines w:val="0"/>
              <w:widowControl/>
              <w:suppressLineNumbers w:val="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6</w:t>
            </w:r>
          </w:p>
        </w:tc>
        <w:tc>
          <w:tcPr>
            <w:tcW w:w="1021" w:type="dxa"/>
            <w:tcBorders>
              <w:top w:val="single" w:color="000000" w:sz="4" w:space="0"/>
              <w:left w:val="single" w:color="auto" w:sz="4" w:space="0"/>
              <w:bottom w:val="single" w:color="000000" w:sz="4" w:space="0"/>
              <w:right w:val="single" w:color="000000" w:sz="4" w:space="0"/>
            </w:tcBorders>
            <w:shd w:val="clear" w:color="auto" w:fill="auto"/>
            <w:vAlign w:val="center"/>
          </w:tcPr>
          <w:p w14:paraId="230F8075">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23%</w:t>
            </w:r>
          </w:p>
        </w:tc>
        <w:tc>
          <w:tcPr>
            <w:tcW w:w="666" w:type="dxa"/>
            <w:tcBorders>
              <w:top w:val="single" w:color="000000" w:sz="4" w:space="0"/>
              <w:left w:val="single" w:color="000000" w:sz="4" w:space="0"/>
              <w:bottom w:val="single" w:color="000000" w:sz="4" w:space="0"/>
              <w:right w:val="single" w:color="auto" w:sz="4" w:space="0"/>
            </w:tcBorders>
            <w:shd w:val="clear" w:color="auto" w:fill="auto"/>
            <w:vAlign w:val="center"/>
          </w:tcPr>
          <w:p w14:paraId="4F1E75EB">
            <w:pPr>
              <w:keepNext w:val="0"/>
              <w:keepLines w:val="0"/>
              <w:widowControl/>
              <w:suppressLineNumbers w:val="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3</w:t>
            </w:r>
          </w:p>
        </w:tc>
        <w:tc>
          <w:tcPr>
            <w:tcW w:w="1021" w:type="dxa"/>
            <w:tcBorders>
              <w:top w:val="single" w:color="000000" w:sz="4" w:space="0"/>
              <w:left w:val="single" w:color="auto" w:sz="4" w:space="0"/>
              <w:bottom w:val="single" w:color="000000" w:sz="4" w:space="0"/>
              <w:right w:val="single" w:color="000000" w:sz="4" w:space="0"/>
            </w:tcBorders>
            <w:shd w:val="clear" w:color="auto" w:fill="auto"/>
            <w:vAlign w:val="center"/>
          </w:tcPr>
          <w:p w14:paraId="3ABB7500">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12%</w:t>
            </w:r>
          </w:p>
        </w:tc>
        <w:tc>
          <w:tcPr>
            <w:tcW w:w="666" w:type="dxa"/>
            <w:tcBorders>
              <w:top w:val="single" w:color="000000" w:sz="4" w:space="0"/>
              <w:left w:val="single" w:color="000000" w:sz="4" w:space="0"/>
              <w:bottom w:val="single" w:color="000000" w:sz="4" w:space="0"/>
              <w:right w:val="single" w:color="auto" w:sz="4" w:space="0"/>
            </w:tcBorders>
            <w:shd w:val="clear" w:color="auto" w:fill="auto"/>
            <w:vAlign w:val="center"/>
          </w:tcPr>
          <w:p w14:paraId="2F4E6574">
            <w:pPr>
              <w:keepNext w:val="0"/>
              <w:keepLines w:val="0"/>
              <w:widowControl/>
              <w:suppressLineNumbers w:val="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0</w:t>
            </w:r>
          </w:p>
        </w:tc>
        <w:tc>
          <w:tcPr>
            <w:tcW w:w="910" w:type="dxa"/>
            <w:tcBorders>
              <w:top w:val="single" w:color="000000" w:sz="4" w:space="0"/>
              <w:left w:val="single" w:color="auto" w:sz="4" w:space="0"/>
              <w:bottom w:val="single" w:color="000000" w:sz="4" w:space="0"/>
              <w:right w:val="single" w:color="000000" w:sz="4" w:space="0"/>
            </w:tcBorders>
            <w:shd w:val="clear" w:color="auto" w:fill="auto"/>
            <w:vAlign w:val="center"/>
          </w:tcPr>
          <w:p w14:paraId="0EFF1FDE">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0%</w:t>
            </w:r>
          </w:p>
        </w:tc>
        <w:tc>
          <w:tcPr>
            <w:tcW w:w="666" w:type="dxa"/>
            <w:tcBorders>
              <w:top w:val="single" w:color="000000" w:sz="4" w:space="0"/>
              <w:left w:val="single" w:color="000000" w:sz="4" w:space="0"/>
              <w:bottom w:val="single" w:color="000000" w:sz="4" w:space="0"/>
              <w:right w:val="single" w:color="auto" w:sz="4" w:space="0"/>
            </w:tcBorders>
            <w:shd w:val="clear" w:color="auto" w:fill="auto"/>
            <w:vAlign w:val="center"/>
          </w:tcPr>
          <w:p w14:paraId="5E598AC0">
            <w:pPr>
              <w:keepNext w:val="0"/>
              <w:keepLines w:val="0"/>
              <w:widowControl/>
              <w:suppressLineNumbers w:val="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0</w:t>
            </w:r>
          </w:p>
        </w:tc>
        <w:tc>
          <w:tcPr>
            <w:tcW w:w="799" w:type="dxa"/>
            <w:tcBorders>
              <w:top w:val="single" w:color="000000" w:sz="4" w:space="0"/>
              <w:left w:val="single" w:color="auto" w:sz="4" w:space="0"/>
              <w:bottom w:val="single" w:color="000000" w:sz="4" w:space="0"/>
              <w:right w:val="single" w:color="000000" w:sz="4" w:space="0"/>
            </w:tcBorders>
            <w:shd w:val="clear" w:color="auto" w:fill="auto"/>
            <w:vAlign w:val="center"/>
          </w:tcPr>
          <w:p w14:paraId="47F0283B">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0%</w:t>
            </w:r>
          </w:p>
        </w:tc>
      </w:tr>
      <w:tr w14:paraId="0D9C526A">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E599E9">
            <w:pPr>
              <w:widowControl/>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rPr>
              <w:t>陆家镇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C4B5A4">
            <w:pPr>
              <w:widowControl/>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rPr>
              <w:t>9</w:t>
            </w:r>
          </w:p>
        </w:tc>
        <w:tc>
          <w:tcPr>
            <w:tcW w:w="672" w:type="dxa"/>
            <w:tcBorders>
              <w:top w:val="single" w:color="000000" w:sz="4" w:space="0"/>
              <w:left w:val="single" w:color="000000" w:sz="4" w:space="0"/>
              <w:bottom w:val="single" w:color="000000" w:sz="4" w:space="0"/>
              <w:right w:val="single" w:color="auto" w:sz="4" w:space="0"/>
            </w:tcBorders>
            <w:shd w:val="clear" w:color="auto" w:fill="auto"/>
            <w:vAlign w:val="center"/>
          </w:tcPr>
          <w:p w14:paraId="64CD90EE">
            <w:pPr>
              <w:keepNext w:val="0"/>
              <w:keepLines w:val="0"/>
              <w:widowControl/>
              <w:suppressLineNumbers w:val="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9</w:t>
            </w:r>
          </w:p>
        </w:tc>
        <w:tc>
          <w:tcPr>
            <w:tcW w:w="1020" w:type="dxa"/>
            <w:tcBorders>
              <w:top w:val="single" w:color="000000" w:sz="4" w:space="0"/>
              <w:left w:val="single" w:color="auto" w:sz="4" w:space="0"/>
              <w:bottom w:val="single" w:color="000000" w:sz="4" w:space="0"/>
              <w:right w:val="single" w:color="000000" w:sz="4" w:space="0"/>
            </w:tcBorders>
            <w:shd w:val="clear" w:color="auto" w:fill="auto"/>
            <w:vAlign w:val="center"/>
          </w:tcPr>
          <w:p w14:paraId="2C7E325F">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100%</w:t>
            </w:r>
          </w:p>
        </w:tc>
        <w:tc>
          <w:tcPr>
            <w:tcW w:w="666" w:type="dxa"/>
            <w:tcBorders>
              <w:top w:val="single" w:color="000000" w:sz="4" w:space="0"/>
              <w:left w:val="single" w:color="000000" w:sz="4" w:space="0"/>
              <w:bottom w:val="single" w:color="000000" w:sz="4" w:space="0"/>
              <w:right w:val="single" w:color="auto" w:sz="4" w:space="0"/>
            </w:tcBorders>
            <w:shd w:val="clear" w:color="auto" w:fill="auto"/>
            <w:vAlign w:val="center"/>
          </w:tcPr>
          <w:p w14:paraId="3DCB721D">
            <w:pPr>
              <w:keepNext w:val="0"/>
              <w:keepLines w:val="0"/>
              <w:widowControl/>
              <w:suppressLineNumbers w:val="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9</w:t>
            </w:r>
          </w:p>
        </w:tc>
        <w:tc>
          <w:tcPr>
            <w:tcW w:w="1021" w:type="dxa"/>
            <w:tcBorders>
              <w:top w:val="single" w:color="000000" w:sz="4" w:space="0"/>
              <w:left w:val="single" w:color="auto" w:sz="4" w:space="0"/>
              <w:bottom w:val="single" w:color="000000" w:sz="4" w:space="0"/>
              <w:right w:val="single" w:color="000000" w:sz="4" w:space="0"/>
            </w:tcBorders>
            <w:shd w:val="clear" w:color="auto" w:fill="auto"/>
            <w:vAlign w:val="center"/>
          </w:tcPr>
          <w:p w14:paraId="0A280128">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100%</w:t>
            </w:r>
          </w:p>
        </w:tc>
        <w:tc>
          <w:tcPr>
            <w:tcW w:w="666" w:type="dxa"/>
            <w:tcBorders>
              <w:top w:val="single" w:color="000000" w:sz="4" w:space="0"/>
              <w:left w:val="single" w:color="000000" w:sz="4" w:space="0"/>
              <w:bottom w:val="single" w:color="000000" w:sz="4" w:space="0"/>
              <w:right w:val="single" w:color="auto" w:sz="4" w:space="0"/>
            </w:tcBorders>
            <w:shd w:val="clear" w:color="auto" w:fill="auto"/>
            <w:vAlign w:val="center"/>
          </w:tcPr>
          <w:p w14:paraId="73A93165">
            <w:pPr>
              <w:keepNext w:val="0"/>
              <w:keepLines w:val="0"/>
              <w:widowControl/>
              <w:suppressLineNumbers w:val="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9</w:t>
            </w:r>
          </w:p>
        </w:tc>
        <w:tc>
          <w:tcPr>
            <w:tcW w:w="1021" w:type="dxa"/>
            <w:tcBorders>
              <w:top w:val="single" w:color="000000" w:sz="4" w:space="0"/>
              <w:left w:val="single" w:color="auto" w:sz="4" w:space="0"/>
              <w:bottom w:val="single" w:color="000000" w:sz="4" w:space="0"/>
              <w:right w:val="single" w:color="000000" w:sz="4" w:space="0"/>
            </w:tcBorders>
            <w:shd w:val="clear" w:color="auto" w:fill="auto"/>
            <w:vAlign w:val="center"/>
          </w:tcPr>
          <w:p w14:paraId="5B63D909">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100%</w:t>
            </w:r>
          </w:p>
        </w:tc>
        <w:tc>
          <w:tcPr>
            <w:tcW w:w="666" w:type="dxa"/>
            <w:tcBorders>
              <w:top w:val="single" w:color="000000" w:sz="4" w:space="0"/>
              <w:left w:val="single" w:color="000000" w:sz="4" w:space="0"/>
              <w:bottom w:val="single" w:color="000000" w:sz="4" w:space="0"/>
              <w:right w:val="single" w:color="auto" w:sz="4" w:space="0"/>
            </w:tcBorders>
            <w:shd w:val="clear" w:color="auto" w:fill="auto"/>
            <w:vAlign w:val="center"/>
          </w:tcPr>
          <w:p w14:paraId="3AE6D3BB">
            <w:pPr>
              <w:keepNext w:val="0"/>
              <w:keepLines w:val="0"/>
              <w:widowControl/>
              <w:suppressLineNumbers w:val="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9</w:t>
            </w:r>
          </w:p>
        </w:tc>
        <w:tc>
          <w:tcPr>
            <w:tcW w:w="1021" w:type="dxa"/>
            <w:tcBorders>
              <w:top w:val="single" w:color="000000" w:sz="4" w:space="0"/>
              <w:left w:val="single" w:color="auto" w:sz="4" w:space="0"/>
              <w:bottom w:val="single" w:color="000000" w:sz="4" w:space="0"/>
              <w:right w:val="single" w:color="000000" w:sz="4" w:space="0"/>
            </w:tcBorders>
            <w:shd w:val="clear" w:color="auto" w:fill="auto"/>
            <w:vAlign w:val="center"/>
          </w:tcPr>
          <w:p w14:paraId="41C89372">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100%</w:t>
            </w:r>
          </w:p>
        </w:tc>
        <w:tc>
          <w:tcPr>
            <w:tcW w:w="666" w:type="dxa"/>
            <w:tcBorders>
              <w:top w:val="single" w:color="000000" w:sz="4" w:space="0"/>
              <w:left w:val="single" w:color="000000" w:sz="4" w:space="0"/>
              <w:bottom w:val="single" w:color="000000" w:sz="4" w:space="0"/>
              <w:right w:val="single" w:color="auto" w:sz="4" w:space="0"/>
            </w:tcBorders>
            <w:shd w:val="clear" w:color="auto" w:fill="auto"/>
            <w:vAlign w:val="center"/>
          </w:tcPr>
          <w:p w14:paraId="48B51E06">
            <w:pPr>
              <w:keepNext w:val="0"/>
              <w:keepLines w:val="0"/>
              <w:widowControl/>
              <w:suppressLineNumbers w:val="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9</w:t>
            </w:r>
          </w:p>
        </w:tc>
        <w:tc>
          <w:tcPr>
            <w:tcW w:w="1021" w:type="dxa"/>
            <w:tcBorders>
              <w:top w:val="single" w:color="000000" w:sz="4" w:space="0"/>
              <w:left w:val="single" w:color="auto" w:sz="4" w:space="0"/>
              <w:bottom w:val="single" w:color="000000" w:sz="4" w:space="0"/>
              <w:right w:val="single" w:color="000000" w:sz="4" w:space="0"/>
            </w:tcBorders>
            <w:shd w:val="clear" w:color="auto" w:fill="auto"/>
            <w:vAlign w:val="center"/>
          </w:tcPr>
          <w:p w14:paraId="0C430914">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100%</w:t>
            </w:r>
          </w:p>
        </w:tc>
        <w:tc>
          <w:tcPr>
            <w:tcW w:w="666" w:type="dxa"/>
            <w:tcBorders>
              <w:top w:val="single" w:color="000000" w:sz="4" w:space="0"/>
              <w:left w:val="single" w:color="000000" w:sz="4" w:space="0"/>
              <w:bottom w:val="single" w:color="000000" w:sz="4" w:space="0"/>
              <w:right w:val="single" w:color="auto" w:sz="4" w:space="0"/>
            </w:tcBorders>
            <w:shd w:val="clear" w:color="auto" w:fill="auto"/>
            <w:vAlign w:val="center"/>
          </w:tcPr>
          <w:p w14:paraId="5BC3C15A">
            <w:pPr>
              <w:keepNext w:val="0"/>
              <w:keepLines w:val="0"/>
              <w:widowControl/>
              <w:suppressLineNumbers w:val="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1</w:t>
            </w:r>
          </w:p>
        </w:tc>
        <w:tc>
          <w:tcPr>
            <w:tcW w:w="910" w:type="dxa"/>
            <w:tcBorders>
              <w:top w:val="single" w:color="000000" w:sz="4" w:space="0"/>
              <w:left w:val="single" w:color="auto" w:sz="4" w:space="0"/>
              <w:bottom w:val="single" w:color="000000" w:sz="4" w:space="0"/>
              <w:right w:val="single" w:color="000000" w:sz="4" w:space="0"/>
            </w:tcBorders>
            <w:shd w:val="clear" w:color="auto" w:fill="auto"/>
            <w:vAlign w:val="center"/>
          </w:tcPr>
          <w:p w14:paraId="0D51F778">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11%</w:t>
            </w:r>
          </w:p>
        </w:tc>
        <w:tc>
          <w:tcPr>
            <w:tcW w:w="666" w:type="dxa"/>
            <w:tcBorders>
              <w:top w:val="single" w:color="000000" w:sz="4" w:space="0"/>
              <w:left w:val="single" w:color="000000" w:sz="4" w:space="0"/>
              <w:bottom w:val="single" w:color="000000" w:sz="4" w:space="0"/>
              <w:right w:val="single" w:color="auto" w:sz="4" w:space="0"/>
            </w:tcBorders>
            <w:shd w:val="clear" w:color="auto" w:fill="auto"/>
            <w:vAlign w:val="center"/>
          </w:tcPr>
          <w:p w14:paraId="616DAFFB">
            <w:pPr>
              <w:keepNext w:val="0"/>
              <w:keepLines w:val="0"/>
              <w:widowControl/>
              <w:suppressLineNumbers w:val="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0</w:t>
            </w:r>
          </w:p>
        </w:tc>
        <w:tc>
          <w:tcPr>
            <w:tcW w:w="799" w:type="dxa"/>
            <w:tcBorders>
              <w:top w:val="single" w:color="000000" w:sz="4" w:space="0"/>
              <w:left w:val="single" w:color="auto" w:sz="4" w:space="0"/>
              <w:bottom w:val="single" w:color="000000" w:sz="4" w:space="0"/>
              <w:right w:val="single" w:color="000000" w:sz="4" w:space="0"/>
            </w:tcBorders>
            <w:shd w:val="clear" w:color="auto" w:fill="auto"/>
            <w:vAlign w:val="center"/>
          </w:tcPr>
          <w:p w14:paraId="76AA1F6A">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0%</w:t>
            </w:r>
          </w:p>
        </w:tc>
      </w:tr>
      <w:tr w14:paraId="283222BA">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0F810">
            <w:pPr>
              <w:widowControl/>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rPr>
              <w:t>巴城镇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BFEDA5">
            <w:pPr>
              <w:widowControl/>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rPr>
              <w:t>19</w:t>
            </w:r>
          </w:p>
        </w:tc>
        <w:tc>
          <w:tcPr>
            <w:tcW w:w="672" w:type="dxa"/>
            <w:tcBorders>
              <w:top w:val="single" w:color="000000" w:sz="4" w:space="0"/>
              <w:left w:val="single" w:color="000000" w:sz="4" w:space="0"/>
              <w:bottom w:val="single" w:color="000000" w:sz="4" w:space="0"/>
              <w:right w:val="single" w:color="auto" w:sz="4" w:space="0"/>
            </w:tcBorders>
            <w:shd w:val="clear" w:color="auto" w:fill="auto"/>
            <w:vAlign w:val="center"/>
          </w:tcPr>
          <w:p w14:paraId="308EDA70">
            <w:pPr>
              <w:keepNext w:val="0"/>
              <w:keepLines w:val="0"/>
              <w:widowControl/>
              <w:suppressLineNumbers w:val="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19</w:t>
            </w:r>
          </w:p>
        </w:tc>
        <w:tc>
          <w:tcPr>
            <w:tcW w:w="1020" w:type="dxa"/>
            <w:tcBorders>
              <w:top w:val="single" w:color="000000" w:sz="4" w:space="0"/>
              <w:left w:val="single" w:color="auto" w:sz="4" w:space="0"/>
              <w:bottom w:val="single" w:color="000000" w:sz="4" w:space="0"/>
              <w:right w:val="single" w:color="000000" w:sz="4" w:space="0"/>
            </w:tcBorders>
            <w:shd w:val="clear" w:color="auto" w:fill="auto"/>
            <w:vAlign w:val="center"/>
          </w:tcPr>
          <w:p w14:paraId="7FC3CD40">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100%</w:t>
            </w:r>
          </w:p>
        </w:tc>
        <w:tc>
          <w:tcPr>
            <w:tcW w:w="666" w:type="dxa"/>
            <w:tcBorders>
              <w:top w:val="single" w:color="000000" w:sz="4" w:space="0"/>
              <w:left w:val="single" w:color="000000" w:sz="4" w:space="0"/>
              <w:bottom w:val="single" w:color="000000" w:sz="4" w:space="0"/>
              <w:right w:val="single" w:color="auto" w:sz="4" w:space="0"/>
            </w:tcBorders>
            <w:shd w:val="clear" w:color="auto" w:fill="auto"/>
            <w:vAlign w:val="center"/>
          </w:tcPr>
          <w:p w14:paraId="4362AE69">
            <w:pPr>
              <w:keepNext w:val="0"/>
              <w:keepLines w:val="0"/>
              <w:widowControl/>
              <w:suppressLineNumbers w:val="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17</w:t>
            </w:r>
          </w:p>
        </w:tc>
        <w:tc>
          <w:tcPr>
            <w:tcW w:w="1021" w:type="dxa"/>
            <w:tcBorders>
              <w:top w:val="single" w:color="000000" w:sz="4" w:space="0"/>
              <w:left w:val="single" w:color="auto" w:sz="4" w:space="0"/>
              <w:bottom w:val="single" w:color="000000" w:sz="4" w:space="0"/>
              <w:right w:val="single" w:color="000000" w:sz="4" w:space="0"/>
            </w:tcBorders>
            <w:shd w:val="clear" w:color="auto" w:fill="auto"/>
            <w:vAlign w:val="center"/>
          </w:tcPr>
          <w:p w14:paraId="65E2B302">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89%</w:t>
            </w:r>
          </w:p>
        </w:tc>
        <w:tc>
          <w:tcPr>
            <w:tcW w:w="666" w:type="dxa"/>
            <w:tcBorders>
              <w:top w:val="single" w:color="000000" w:sz="4" w:space="0"/>
              <w:left w:val="single" w:color="000000" w:sz="4" w:space="0"/>
              <w:bottom w:val="single" w:color="000000" w:sz="4" w:space="0"/>
              <w:right w:val="single" w:color="auto" w:sz="4" w:space="0"/>
            </w:tcBorders>
            <w:shd w:val="clear" w:color="auto" w:fill="auto"/>
            <w:vAlign w:val="center"/>
          </w:tcPr>
          <w:p w14:paraId="2433DD15">
            <w:pPr>
              <w:keepNext w:val="0"/>
              <w:keepLines w:val="0"/>
              <w:widowControl/>
              <w:suppressLineNumbers w:val="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14</w:t>
            </w:r>
          </w:p>
        </w:tc>
        <w:tc>
          <w:tcPr>
            <w:tcW w:w="1021" w:type="dxa"/>
            <w:tcBorders>
              <w:top w:val="single" w:color="000000" w:sz="4" w:space="0"/>
              <w:left w:val="single" w:color="auto" w:sz="4" w:space="0"/>
              <w:bottom w:val="single" w:color="000000" w:sz="4" w:space="0"/>
              <w:right w:val="single" w:color="000000" w:sz="4" w:space="0"/>
            </w:tcBorders>
            <w:shd w:val="clear" w:color="auto" w:fill="auto"/>
            <w:vAlign w:val="center"/>
          </w:tcPr>
          <w:p w14:paraId="532DE501">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74%</w:t>
            </w:r>
          </w:p>
        </w:tc>
        <w:tc>
          <w:tcPr>
            <w:tcW w:w="666" w:type="dxa"/>
            <w:tcBorders>
              <w:top w:val="single" w:color="000000" w:sz="4" w:space="0"/>
              <w:left w:val="single" w:color="000000" w:sz="4" w:space="0"/>
              <w:bottom w:val="single" w:color="000000" w:sz="4" w:space="0"/>
              <w:right w:val="single" w:color="auto" w:sz="4" w:space="0"/>
            </w:tcBorders>
            <w:shd w:val="clear" w:color="auto" w:fill="auto"/>
            <w:vAlign w:val="center"/>
          </w:tcPr>
          <w:p w14:paraId="188BBA8D">
            <w:pPr>
              <w:keepNext w:val="0"/>
              <w:keepLines w:val="0"/>
              <w:widowControl/>
              <w:suppressLineNumbers w:val="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11</w:t>
            </w:r>
          </w:p>
        </w:tc>
        <w:tc>
          <w:tcPr>
            <w:tcW w:w="1021" w:type="dxa"/>
            <w:tcBorders>
              <w:top w:val="single" w:color="000000" w:sz="4" w:space="0"/>
              <w:left w:val="single" w:color="auto" w:sz="4" w:space="0"/>
              <w:bottom w:val="single" w:color="000000" w:sz="4" w:space="0"/>
              <w:right w:val="single" w:color="000000" w:sz="4" w:space="0"/>
            </w:tcBorders>
            <w:shd w:val="clear" w:color="auto" w:fill="auto"/>
            <w:vAlign w:val="center"/>
          </w:tcPr>
          <w:p w14:paraId="496E2743">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58%</w:t>
            </w:r>
          </w:p>
        </w:tc>
        <w:tc>
          <w:tcPr>
            <w:tcW w:w="666" w:type="dxa"/>
            <w:tcBorders>
              <w:top w:val="single" w:color="000000" w:sz="4" w:space="0"/>
              <w:left w:val="single" w:color="000000" w:sz="4" w:space="0"/>
              <w:bottom w:val="single" w:color="000000" w:sz="4" w:space="0"/>
              <w:right w:val="single" w:color="auto" w:sz="4" w:space="0"/>
            </w:tcBorders>
            <w:shd w:val="clear" w:color="auto" w:fill="auto"/>
            <w:vAlign w:val="center"/>
          </w:tcPr>
          <w:p w14:paraId="070814B7">
            <w:pPr>
              <w:keepNext w:val="0"/>
              <w:keepLines w:val="0"/>
              <w:widowControl/>
              <w:suppressLineNumbers w:val="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6</w:t>
            </w:r>
          </w:p>
        </w:tc>
        <w:tc>
          <w:tcPr>
            <w:tcW w:w="1021" w:type="dxa"/>
            <w:tcBorders>
              <w:top w:val="single" w:color="000000" w:sz="4" w:space="0"/>
              <w:left w:val="single" w:color="auto" w:sz="4" w:space="0"/>
              <w:bottom w:val="single" w:color="000000" w:sz="4" w:space="0"/>
              <w:right w:val="single" w:color="000000" w:sz="4" w:space="0"/>
            </w:tcBorders>
            <w:shd w:val="clear" w:color="auto" w:fill="auto"/>
            <w:vAlign w:val="center"/>
          </w:tcPr>
          <w:p w14:paraId="059A01FC">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32%</w:t>
            </w:r>
          </w:p>
        </w:tc>
        <w:tc>
          <w:tcPr>
            <w:tcW w:w="666" w:type="dxa"/>
            <w:tcBorders>
              <w:top w:val="single" w:color="000000" w:sz="4" w:space="0"/>
              <w:left w:val="single" w:color="000000" w:sz="4" w:space="0"/>
              <w:bottom w:val="single" w:color="000000" w:sz="4" w:space="0"/>
              <w:right w:val="single" w:color="auto" w:sz="4" w:space="0"/>
            </w:tcBorders>
            <w:shd w:val="clear" w:color="auto" w:fill="auto"/>
            <w:vAlign w:val="center"/>
          </w:tcPr>
          <w:p w14:paraId="7E8D6EBA">
            <w:pPr>
              <w:keepNext w:val="0"/>
              <w:keepLines w:val="0"/>
              <w:widowControl/>
              <w:suppressLineNumbers w:val="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1</w:t>
            </w:r>
          </w:p>
        </w:tc>
        <w:tc>
          <w:tcPr>
            <w:tcW w:w="910" w:type="dxa"/>
            <w:tcBorders>
              <w:top w:val="single" w:color="000000" w:sz="4" w:space="0"/>
              <w:left w:val="single" w:color="auto" w:sz="4" w:space="0"/>
              <w:bottom w:val="single" w:color="000000" w:sz="4" w:space="0"/>
              <w:right w:val="single" w:color="000000" w:sz="4" w:space="0"/>
            </w:tcBorders>
            <w:shd w:val="clear" w:color="auto" w:fill="auto"/>
            <w:vAlign w:val="center"/>
          </w:tcPr>
          <w:p w14:paraId="0522EA53">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5%</w:t>
            </w:r>
          </w:p>
        </w:tc>
        <w:tc>
          <w:tcPr>
            <w:tcW w:w="666" w:type="dxa"/>
            <w:tcBorders>
              <w:top w:val="single" w:color="000000" w:sz="4" w:space="0"/>
              <w:left w:val="single" w:color="000000" w:sz="4" w:space="0"/>
              <w:bottom w:val="single" w:color="000000" w:sz="4" w:space="0"/>
              <w:right w:val="single" w:color="auto" w:sz="4" w:space="0"/>
            </w:tcBorders>
            <w:shd w:val="clear" w:color="auto" w:fill="auto"/>
            <w:vAlign w:val="center"/>
          </w:tcPr>
          <w:p w14:paraId="4697B783">
            <w:pPr>
              <w:keepNext w:val="0"/>
              <w:keepLines w:val="0"/>
              <w:widowControl/>
              <w:suppressLineNumbers w:val="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0</w:t>
            </w:r>
          </w:p>
        </w:tc>
        <w:tc>
          <w:tcPr>
            <w:tcW w:w="799" w:type="dxa"/>
            <w:tcBorders>
              <w:top w:val="single" w:color="000000" w:sz="4" w:space="0"/>
              <w:left w:val="single" w:color="auto" w:sz="4" w:space="0"/>
              <w:bottom w:val="single" w:color="000000" w:sz="4" w:space="0"/>
              <w:right w:val="single" w:color="000000" w:sz="4" w:space="0"/>
            </w:tcBorders>
            <w:shd w:val="clear" w:color="auto" w:fill="auto"/>
            <w:vAlign w:val="center"/>
          </w:tcPr>
          <w:p w14:paraId="71CF4CA7">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0%</w:t>
            </w:r>
          </w:p>
        </w:tc>
      </w:tr>
      <w:tr w14:paraId="56D65ABF">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EC1D42">
            <w:pPr>
              <w:widowControl/>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rPr>
              <w:t>千灯镇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2D01B1">
            <w:pPr>
              <w:widowControl/>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rPr>
              <w:t>12</w:t>
            </w:r>
          </w:p>
        </w:tc>
        <w:tc>
          <w:tcPr>
            <w:tcW w:w="672" w:type="dxa"/>
            <w:tcBorders>
              <w:top w:val="single" w:color="000000" w:sz="4" w:space="0"/>
              <w:left w:val="single" w:color="000000" w:sz="4" w:space="0"/>
              <w:bottom w:val="single" w:color="000000" w:sz="4" w:space="0"/>
              <w:right w:val="single" w:color="auto" w:sz="4" w:space="0"/>
            </w:tcBorders>
            <w:shd w:val="clear" w:color="auto" w:fill="auto"/>
            <w:vAlign w:val="center"/>
          </w:tcPr>
          <w:p w14:paraId="2EFDD06B">
            <w:pPr>
              <w:keepNext w:val="0"/>
              <w:keepLines w:val="0"/>
              <w:widowControl/>
              <w:suppressLineNumbers w:val="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12</w:t>
            </w:r>
          </w:p>
        </w:tc>
        <w:tc>
          <w:tcPr>
            <w:tcW w:w="1020" w:type="dxa"/>
            <w:tcBorders>
              <w:top w:val="single" w:color="000000" w:sz="4" w:space="0"/>
              <w:left w:val="single" w:color="auto" w:sz="4" w:space="0"/>
              <w:bottom w:val="single" w:color="000000" w:sz="4" w:space="0"/>
              <w:right w:val="single" w:color="000000" w:sz="4" w:space="0"/>
            </w:tcBorders>
            <w:shd w:val="clear" w:color="auto" w:fill="auto"/>
            <w:vAlign w:val="center"/>
          </w:tcPr>
          <w:p w14:paraId="22041C91">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100%</w:t>
            </w:r>
          </w:p>
        </w:tc>
        <w:tc>
          <w:tcPr>
            <w:tcW w:w="666" w:type="dxa"/>
            <w:tcBorders>
              <w:top w:val="single" w:color="000000" w:sz="4" w:space="0"/>
              <w:left w:val="single" w:color="000000" w:sz="4" w:space="0"/>
              <w:bottom w:val="single" w:color="000000" w:sz="4" w:space="0"/>
              <w:right w:val="single" w:color="auto" w:sz="4" w:space="0"/>
            </w:tcBorders>
            <w:shd w:val="clear" w:color="auto" w:fill="auto"/>
            <w:vAlign w:val="center"/>
          </w:tcPr>
          <w:p w14:paraId="0D235744">
            <w:pPr>
              <w:keepNext w:val="0"/>
              <w:keepLines w:val="0"/>
              <w:widowControl/>
              <w:suppressLineNumbers w:val="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12</w:t>
            </w:r>
          </w:p>
        </w:tc>
        <w:tc>
          <w:tcPr>
            <w:tcW w:w="1021" w:type="dxa"/>
            <w:tcBorders>
              <w:top w:val="single" w:color="000000" w:sz="4" w:space="0"/>
              <w:left w:val="single" w:color="auto" w:sz="4" w:space="0"/>
              <w:bottom w:val="single" w:color="000000" w:sz="4" w:space="0"/>
              <w:right w:val="single" w:color="000000" w:sz="4" w:space="0"/>
            </w:tcBorders>
            <w:shd w:val="clear" w:color="auto" w:fill="auto"/>
            <w:vAlign w:val="center"/>
          </w:tcPr>
          <w:p w14:paraId="1BF46A07">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100%</w:t>
            </w:r>
          </w:p>
        </w:tc>
        <w:tc>
          <w:tcPr>
            <w:tcW w:w="666" w:type="dxa"/>
            <w:tcBorders>
              <w:top w:val="single" w:color="000000" w:sz="4" w:space="0"/>
              <w:left w:val="single" w:color="000000" w:sz="4" w:space="0"/>
              <w:bottom w:val="single" w:color="000000" w:sz="4" w:space="0"/>
              <w:right w:val="single" w:color="auto" w:sz="4" w:space="0"/>
            </w:tcBorders>
            <w:shd w:val="clear" w:color="auto" w:fill="auto"/>
            <w:vAlign w:val="center"/>
          </w:tcPr>
          <w:p w14:paraId="48234328">
            <w:pPr>
              <w:keepNext w:val="0"/>
              <w:keepLines w:val="0"/>
              <w:widowControl/>
              <w:suppressLineNumbers w:val="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12</w:t>
            </w:r>
          </w:p>
        </w:tc>
        <w:tc>
          <w:tcPr>
            <w:tcW w:w="1021" w:type="dxa"/>
            <w:tcBorders>
              <w:top w:val="single" w:color="000000" w:sz="4" w:space="0"/>
              <w:left w:val="single" w:color="auto" w:sz="4" w:space="0"/>
              <w:bottom w:val="single" w:color="000000" w:sz="4" w:space="0"/>
              <w:right w:val="single" w:color="000000" w:sz="4" w:space="0"/>
            </w:tcBorders>
            <w:shd w:val="clear" w:color="auto" w:fill="auto"/>
            <w:vAlign w:val="center"/>
          </w:tcPr>
          <w:p w14:paraId="15D031F0">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100%</w:t>
            </w:r>
          </w:p>
        </w:tc>
        <w:tc>
          <w:tcPr>
            <w:tcW w:w="666" w:type="dxa"/>
            <w:tcBorders>
              <w:top w:val="single" w:color="000000" w:sz="4" w:space="0"/>
              <w:left w:val="single" w:color="000000" w:sz="4" w:space="0"/>
              <w:bottom w:val="single" w:color="000000" w:sz="4" w:space="0"/>
              <w:right w:val="single" w:color="auto" w:sz="4" w:space="0"/>
            </w:tcBorders>
            <w:shd w:val="clear" w:color="auto" w:fill="auto"/>
            <w:vAlign w:val="center"/>
          </w:tcPr>
          <w:p w14:paraId="541682E6">
            <w:pPr>
              <w:keepNext w:val="0"/>
              <w:keepLines w:val="0"/>
              <w:widowControl/>
              <w:suppressLineNumbers w:val="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12</w:t>
            </w:r>
          </w:p>
        </w:tc>
        <w:tc>
          <w:tcPr>
            <w:tcW w:w="1021" w:type="dxa"/>
            <w:tcBorders>
              <w:top w:val="single" w:color="000000" w:sz="4" w:space="0"/>
              <w:left w:val="single" w:color="auto" w:sz="4" w:space="0"/>
              <w:bottom w:val="single" w:color="000000" w:sz="4" w:space="0"/>
              <w:right w:val="single" w:color="000000" w:sz="4" w:space="0"/>
            </w:tcBorders>
            <w:shd w:val="clear" w:color="auto" w:fill="auto"/>
            <w:vAlign w:val="center"/>
          </w:tcPr>
          <w:p w14:paraId="0A89B62E">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100%</w:t>
            </w:r>
          </w:p>
        </w:tc>
        <w:tc>
          <w:tcPr>
            <w:tcW w:w="666" w:type="dxa"/>
            <w:tcBorders>
              <w:top w:val="single" w:color="000000" w:sz="4" w:space="0"/>
              <w:left w:val="single" w:color="000000" w:sz="4" w:space="0"/>
              <w:bottom w:val="single" w:color="000000" w:sz="4" w:space="0"/>
              <w:right w:val="single" w:color="auto" w:sz="4" w:space="0"/>
            </w:tcBorders>
            <w:shd w:val="clear" w:color="auto" w:fill="auto"/>
            <w:vAlign w:val="center"/>
          </w:tcPr>
          <w:p w14:paraId="38928F11">
            <w:pPr>
              <w:keepNext w:val="0"/>
              <w:keepLines w:val="0"/>
              <w:widowControl/>
              <w:suppressLineNumbers w:val="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6</w:t>
            </w:r>
          </w:p>
        </w:tc>
        <w:tc>
          <w:tcPr>
            <w:tcW w:w="1021" w:type="dxa"/>
            <w:tcBorders>
              <w:top w:val="single" w:color="000000" w:sz="4" w:space="0"/>
              <w:left w:val="single" w:color="auto" w:sz="4" w:space="0"/>
              <w:bottom w:val="single" w:color="000000" w:sz="4" w:space="0"/>
              <w:right w:val="single" w:color="000000" w:sz="4" w:space="0"/>
            </w:tcBorders>
            <w:shd w:val="clear" w:color="auto" w:fill="auto"/>
            <w:vAlign w:val="center"/>
          </w:tcPr>
          <w:p w14:paraId="4D8145B5">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50%</w:t>
            </w:r>
          </w:p>
        </w:tc>
        <w:tc>
          <w:tcPr>
            <w:tcW w:w="666" w:type="dxa"/>
            <w:tcBorders>
              <w:top w:val="single" w:color="000000" w:sz="4" w:space="0"/>
              <w:left w:val="single" w:color="000000" w:sz="4" w:space="0"/>
              <w:bottom w:val="single" w:color="000000" w:sz="4" w:space="0"/>
              <w:right w:val="single" w:color="auto" w:sz="4" w:space="0"/>
            </w:tcBorders>
            <w:shd w:val="clear" w:color="auto" w:fill="auto"/>
            <w:vAlign w:val="center"/>
          </w:tcPr>
          <w:p w14:paraId="25650C60">
            <w:pPr>
              <w:keepNext w:val="0"/>
              <w:keepLines w:val="0"/>
              <w:widowControl/>
              <w:suppressLineNumbers w:val="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0</w:t>
            </w:r>
          </w:p>
        </w:tc>
        <w:tc>
          <w:tcPr>
            <w:tcW w:w="910" w:type="dxa"/>
            <w:tcBorders>
              <w:top w:val="single" w:color="000000" w:sz="4" w:space="0"/>
              <w:left w:val="single" w:color="auto" w:sz="4" w:space="0"/>
              <w:bottom w:val="single" w:color="000000" w:sz="4" w:space="0"/>
              <w:right w:val="single" w:color="000000" w:sz="4" w:space="0"/>
            </w:tcBorders>
            <w:shd w:val="clear" w:color="auto" w:fill="auto"/>
            <w:vAlign w:val="center"/>
          </w:tcPr>
          <w:p w14:paraId="2F30CED2">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0%</w:t>
            </w:r>
          </w:p>
        </w:tc>
        <w:tc>
          <w:tcPr>
            <w:tcW w:w="666" w:type="dxa"/>
            <w:tcBorders>
              <w:top w:val="single" w:color="000000" w:sz="4" w:space="0"/>
              <w:left w:val="single" w:color="000000" w:sz="4" w:space="0"/>
              <w:bottom w:val="single" w:color="000000" w:sz="4" w:space="0"/>
              <w:right w:val="single" w:color="auto" w:sz="4" w:space="0"/>
            </w:tcBorders>
            <w:shd w:val="clear" w:color="auto" w:fill="auto"/>
            <w:vAlign w:val="center"/>
          </w:tcPr>
          <w:p w14:paraId="6898DAF7">
            <w:pPr>
              <w:keepNext w:val="0"/>
              <w:keepLines w:val="0"/>
              <w:widowControl/>
              <w:suppressLineNumbers w:val="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0</w:t>
            </w:r>
          </w:p>
        </w:tc>
        <w:tc>
          <w:tcPr>
            <w:tcW w:w="799" w:type="dxa"/>
            <w:tcBorders>
              <w:top w:val="single" w:color="000000" w:sz="4" w:space="0"/>
              <w:left w:val="single" w:color="auto" w:sz="4" w:space="0"/>
              <w:bottom w:val="single" w:color="000000" w:sz="4" w:space="0"/>
              <w:right w:val="single" w:color="000000" w:sz="4" w:space="0"/>
            </w:tcBorders>
            <w:shd w:val="clear" w:color="auto" w:fill="auto"/>
            <w:vAlign w:val="center"/>
          </w:tcPr>
          <w:p w14:paraId="16A226DB">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0%</w:t>
            </w:r>
          </w:p>
        </w:tc>
      </w:tr>
      <w:tr w14:paraId="6FAA78EC">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5658FF">
            <w:pPr>
              <w:widowControl/>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rPr>
              <w:t>淀山湖镇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E5D0D">
            <w:pPr>
              <w:widowControl/>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rPr>
              <w:t>9</w:t>
            </w:r>
          </w:p>
        </w:tc>
        <w:tc>
          <w:tcPr>
            <w:tcW w:w="672" w:type="dxa"/>
            <w:tcBorders>
              <w:top w:val="single" w:color="000000" w:sz="4" w:space="0"/>
              <w:left w:val="single" w:color="000000" w:sz="4" w:space="0"/>
              <w:bottom w:val="single" w:color="000000" w:sz="4" w:space="0"/>
              <w:right w:val="single" w:color="auto" w:sz="4" w:space="0"/>
            </w:tcBorders>
            <w:shd w:val="clear" w:color="auto" w:fill="auto"/>
            <w:vAlign w:val="center"/>
          </w:tcPr>
          <w:p w14:paraId="52201D28">
            <w:pPr>
              <w:keepNext w:val="0"/>
              <w:keepLines w:val="0"/>
              <w:widowControl/>
              <w:suppressLineNumbers w:val="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9</w:t>
            </w:r>
          </w:p>
        </w:tc>
        <w:tc>
          <w:tcPr>
            <w:tcW w:w="1020" w:type="dxa"/>
            <w:tcBorders>
              <w:top w:val="single" w:color="000000" w:sz="4" w:space="0"/>
              <w:left w:val="single" w:color="auto" w:sz="4" w:space="0"/>
              <w:bottom w:val="single" w:color="000000" w:sz="4" w:space="0"/>
              <w:right w:val="single" w:color="000000" w:sz="4" w:space="0"/>
            </w:tcBorders>
            <w:shd w:val="clear" w:color="auto" w:fill="auto"/>
            <w:vAlign w:val="center"/>
          </w:tcPr>
          <w:p w14:paraId="361303EC">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100%</w:t>
            </w:r>
          </w:p>
        </w:tc>
        <w:tc>
          <w:tcPr>
            <w:tcW w:w="666" w:type="dxa"/>
            <w:tcBorders>
              <w:top w:val="single" w:color="000000" w:sz="4" w:space="0"/>
              <w:left w:val="single" w:color="000000" w:sz="4" w:space="0"/>
              <w:bottom w:val="single" w:color="000000" w:sz="4" w:space="0"/>
              <w:right w:val="single" w:color="auto" w:sz="4" w:space="0"/>
            </w:tcBorders>
            <w:shd w:val="clear" w:color="auto" w:fill="auto"/>
            <w:vAlign w:val="center"/>
          </w:tcPr>
          <w:p w14:paraId="0EE7A670">
            <w:pPr>
              <w:keepNext w:val="0"/>
              <w:keepLines w:val="0"/>
              <w:widowControl/>
              <w:suppressLineNumbers w:val="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9</w:t>
            </w:r>
          </w:p>
        </w:tc>
        <w:tc>
          <w:tcPr>
            <w:tcW w:w="1021" w:type="dxa"/>
            <w:tcBorders>
              <w:top w:val="single" w:color="000000" w:sz="4" w:space="0"/>
              <w:left w:val="single" w:color="auto" w:sz="4" w:space="0"/>
              <w:bottom w:val="single" w:color="000000" w:sz="4" w:space="0"/>
              <w:right w:val="single" w:color="000000" w:sz="4" w:space="0"/>
            </w:tcBorders>
            <w:shd w:val="clear" w:color="auto" w:fill="auto"/>
            <w:vAlign w:val="center"/>
          </w:tcPr>
          <w:p w14:paraId="205C8234">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100%</w:t>
            </w:r>
          </w:p>
        </w:tc>
        <w:tc>
          <w:tcPr>
            <w:tcW w:w="666" w:type="dxa"/>
            <w:tcBorders>
              <w:top w:val="single" w:color="000000" w:sz="4" w:space="0"/>
              <w:left w:val="single" w:color="000000" w:sz="4" w:space="0"/>
              <w:bottom w:val="single" w:color="000000" w:sz="4" w:space="0"/>
              <w:right w:val="single" w:color="auto" w:sz="4" w:space="0"/>
            </w:tcBorders>
            <w:shd w:val="clear" w:color="auto" w:fill="auto"/>
            <w:vAlign w:val="center"/>
          </w:tcPr>
          <w:p w14:paraId="482D86FC">
            <w:pPr>
              <w:keepNext w:val="0"/>
              <w:keepLines w:val="0"/>
              <w:widowControl/>
              <w:suppressLineNumbers w:val="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9</w:t>
            </w:r>
          </w:p>
        </w:tc>
        <w:tc>
          <w:tcPr>
            <w:tcW w:w="1021" w:type="dxa"/>
            <w:tcBorders>
              <w:top w:val="single" w:color="000000" w:sz="4" w:space="0"/>
              <w:left w:val="single" w:color="auto" w:sz="4" w:space="0"/>
              <w:bottom w:val="single" w:color="000000" w:sz="4" w:space="0"/>
              <w:right w:val="single" w:color="000000" w:sz="4" w:space="0"/>
            </w:tcBorders>
            <w:shd w:val="clear" w:color="auto" w:fill="auto"/>
            <w:vAlign w:val="center"/>
          </w:tcPr>
          <w:p w14:paraId="3F8EAA56">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100%</w:t>
            </w:r>
          </w:p>
        </w:tc>
        <w:tc>
          <w:tcPr>
            <w:tcW w:w="666" w:type="dxa"/>
            <w:tcBorders>
              <w:top w:val="single" w:color="000000" w:sz="4" w:space="0"/>
              <w:left w:val="single" w:color="000000" w:sz="4" w:space="0"/>
              <w:bottom w:val="single" w:color="000000" w:sz="4" w:space="0"/>
              <w:right w:val="single" w:color="auto" w:sz="4" w:space="0"/>
            </w:tcBorders>
            <w:shd w:val="clear" w:color="auto" w:fill="auto"/>
            <w:vAlign w:val="center"/>
          </w:tcPr>
          <w:p w14:paraId="28F6A44E">
            <w:pPr>
              <w:keepNext w:val="0"/>
              <w:keepLines w:val="0"/>
              <w:widowControl/>
              <w:suppressLineNumbers w:val="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7</w:t>
            </w:r>
          </w:p>
        </w:tc>
        <w:tc>
          <w:tcPr>
            <w:tcW w:w="1021" w:type="dxa"/>
            <w:tcBorders>
              <w:top w:val="single" w:color="000000" w:sz="4" w:space="0"/>
              <w:left w:val="single" w:color="auto" w:sz="4" w:space="0"/>
              <w:bottom w:val="single" w:color="000000" w:sz="4" w:space="0"/>
              <w:right w:val="single" w:color="000000" w:sz="4" w:space="0"/>
            </w:tcBorders>
            <w:shd w:val="clear" w:color="auto" w:fill="auto"/>
            <w:vAlign w:val="center"/>
          </w:tcPr>
          <w:p w14:paraId="7BFDDB3A">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78%</w:t>
            </w:r>
          </w:p>
        </w:tc>
        <w:tc>
          <w:tcPr>
            <w:tcW w:w="666" w:type="dxa"/>
            <w:tcBorders>
              <w:top w:val="single" w:color="000000" w:sz="4" w:space="0"/>
              <w:left w:val="single" w:color="000000" w:sz="4" w:space="0"/>
              <w:bottom w:val="single" w:color="000000" w:sz="4" w:space="0"/>
              <w:right w:val="single" w:color="auto" w:sz="4" w:space="0"/>
            </w:tcBorders>
            <w:shd w:val="clear" w:color="auto" w:fill="auto"/>
            <w:vAlign w:val="center"/>
          </w:tcPr>
          <w:p w14:paraId="1EE2DF4D">
            <w:pPr>
              <w:keepNext w:val="0"/>
              <w:keepLines w:val="0"/>
              <w:widowControl/>
              <w:suppressLineNumbers w:val="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2</w:t>
            </w:r>
          </w:p>
        </w:tc>
        <w:tc>
          <w:tcPr>
            <w:tcW w:w="1021" w:type="dxa"/>
            <w:tcBorders>
              <w:top w:val="single" w:color="000000" w:sz="4" w:space="0"/>
              <w:left w:val="single" w:color="auto" w:sz="4" w:space="0"/>
              <w:bottom w:val="single" w:color="000000" w:sz="4" w:space="0"/>
              <w:right w:val="single" w:color="000000" w:sz="4" w:space="0"/>
            </w:tcBorders>
            <w:shd w:val="clear" w:color="auto" w:fill="auto"/>
            <w:vAlign w:val="center"/>
          </w:tcPr>
          <w:p w14:paraId="05B50AC3">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22%</w:t>
            </w:r>
          </w:p>
        </w:tc>
        <w:tc>
          <w:tcPr>
            <w:tcW w:w="666" w:type="dxa"/>
            <w:tcBorders>
              <w:top w:val="single" w:color="000000" w:sz="4" w:space="0"/>
              <w:left w:val="single" w:color="000000" w:sz="4" w:space="0"/>
              <w:bottom w:val="single" w:color="000000" w:sz="4" w:space="0"/>
              <w:right w:val="single" w:color="auto" w:sz="4" w:space="0"/>
            </w:tcBorders>
            <w:shd w:val="clear" w:color="auto" w:fill="auto"/>
            <w:vAlign w:val="center"/>
          </w:tcPr>
          <w:p w14:paraId="5365B827">
            <w:pPr>
              <w:keepNext w:val="0"/>
              <w:keepLines w:val="0"/>
              <w:widowControl/>
              <w:suppressLineNumbers w:val="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2</w:t>
            </w:r>
          </w:p>
        </w:tc>
        <w:tc>
          <w:tcPr>
            <w:tcW w:w="910" w:type="dxa"/>
            <w:tcBorders>
              <w:top w:val="single" w:color="000000" w:sz="4" w:space="0"/>
              <w:left w:val="single" w:color="auto" w:sz="4" w:space="0"/>
              <w:bottom w:val="single" w:color="000000" w:sz="4" w:space="0"/>
              <w:right w:val="single" w:color="000000" w:sz="4" w:space="0"/>
            </w:tcBorders>
            <w:shd w:val="clear" w:color="auto" w:fill="auto"/>
            <w:vAlign w:val="center"/>
          </w:tcPr>
          <w:p w14:paraId="01E4DE3F">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22%</w:t>
            </w:r>
          </w:p>
        </w:tc>
        <w:tc>
          <w:tcPr>
            <w:tcW w:w="666" w:type="dxa"/>
            <w:tcBorders>
              <w:top w:val="single" w:color="000000" w:sz="4" w:space="0"/>
              <w:left w:val="single" w:color="000000" w:sz="4" w:space="0"/>
              <w:bottom w:val="single" w:color="000000" w:sz="4" w:space="0"/>
              <w:right w:val="single" w:color="auto" w:sz="4" w:space="0"/>
            </w:tcBorders>
            <w:shd w:val="clear" w:color="auto" w:fill="auto"/>
            <w:vAlign w:val="center"/>
          </w:tcPr>
          <w:p w14:paraId="0DB419BB">
            <w:pPr>
              <w:keepNext w:val="0"/>
              <w:keepLines w:val="0"/>
              <w:widowControl/>
              <w:suppressLineNumbers w:val="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0</w:t>
            </w:r>
          </w:p>
        </w:tc>
        <w:tc>
          <w:tcPr>
            <w:tcW w:w="799" w:type="dxa"/>
            <w:tcBorders>
              <w:top w:val="single" w:color="000000" w:sz="4" w:space="0"/>
              <w:left w:val="single" w:color="auto" w:sz="4" w:space="0"/>
              <w:bottom w:val="single" w:color="000000" w:sz="4" w:space="0"/>
              <w:right w:val="single" w:color="000000" w:sz="4" w:space="0"/>
            </w:tcBorders>
            <w:shd w:val="clear" w:color="auto" w:fill="auto"/>
            <w:vAlign w:val="center"/>
          </w:tcPr>
          <w:p w14:paraId="645F4267">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0%</w:t>
            </w:r>
          </w:p>
        </w:tc>
      </w:tr>
      <w:tr w14:paraId="7B24FACA">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82A62C">
            <w:pPr>
              <w:widowControl/>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rPr>
              <w:t>周庄镇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6CC0CD">
            <w:pPr>
              <w:widowControl/>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rPr>
              <w:t>3</w:t>
            </w:r>
          </w:p>
        </w:tc>
        <w:tc>
          <w:tcPr>
            <w:tcW w:w="672" w:type="dxa"/>
            <w:tcBorders>
              <w:top w:val="single" w:color="000000" w:sz="4" w:space="0"/>
              <w:left w:val="single" w:color="000000" w:sz="4" w:space="0"/>
              <w:bottom w:val="single" w:color="000000" w:sz="4" w:space="0"/>
              <w:right w:val="single" w:color="auto" w:sz="4" w:space="0"/>
            </w:tcBorders>
            <w:shd w:val="clear" w:color="auto" w:fill="auto"/>
            <w:vAlign w:val="center"/>
          </w:tcPr>
          <w:p w14:paraId="7D82D84A">
            <w:pPr>
              <w:keepNext w:val="0"/>
              <w:keepLines w:val="0"/>
              <w:widowControl/>
              <w:suppressLineNumbers w:val="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3</w:t>
            </w:r>
          </w:p>
        </w:tc>
        <w:tc>
          <w:tcPr>
            <w:tcW w:w="1020" w:type="dxa"/>
            <w:tcBorders>
              <w:top w:val="single" w:color="000000" w:sz="4" w:space="0"/>
              <w:left w:val="single" w:color="auto" w:sz="4" w:space="0"/>
              <w:bottom w:val="single" w:color="000000" w:sz="4" w:space="0"/>
              <w:right w:val="single" w:color="000000" w:sz="4" w:space="0"/>
            </w:tcBorders>
            <w:shd w:val="clear" w:color="auto" w:fill="auto"/>
            <w:vAlign w:val="center"/>
          </w:tcPr>
          <w:p w14:paraId="3F1CDB6A">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100%</w:t>
            </w:r>
          </w:p>
        </w:tc>
        <w:tc>
          <w:tcPr>
            <w:tcW w:w="666" w:type="dxa"/>
            <w:tcBorders>
              <w:top w:val="single" w:color="000000" w:sz="4" w:space="0"/>
              <w:left w:val="single" w:color="000000" w:sz="4" w:space="0"/>
              <w:bottom w:val="single" w:color="000000" w:sz="4" w:space="0"/>
              <w:right w:val="single" w:color="auto" w:sz="4" w:space="0"/>
            </w:tcBorders>
            <w:shd w:val="clear" w:color="auto" w:fill="auto"/>
            <w:vAlign w:val="center"/>
          </w:tcPr>
          <w:p w14:paraId="272ED8E9">
            <w:pPr>
              <w:keepNext w:val="0"/>
              <w:keepLines w:val="0"/>
              <w:widowControl/>
              <w:suppressLineNumbers w:val="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3</w:t>
            </w:r>
          </w:p>
        </w:tc>
        <w:tc>
          <w:tcPr>
            <w:tcW w:w="1021" w:type="dxa"/>
            <w:tcBorders>
              <w:top w:val="single" w:color="000000" w:sz="4" w:space="0"/>
              <w:left w:val="single" w:color="auto" w:sz="4" w:space="0"/>
              <w:bottom w:val="single" w:color="000000" w:sz="4" w:space="0"/>
              <w:right w:val="single" w:color="000000" w:sz="4" w:space="0"/>
            </w:tcBorders>
            <w:shd w:val="clear" w:color="auto" w:fill="auto"/>
            <w:vAlign w:val="center"/>
          </w:tcPr>
          <w:p w14:paraId="2B984597">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100%</w:t>
            </w:r>
          </w:p>
        </w:tc>
        <w:tc>
          <w:tcPr>
            <w:tcW w:w="666" w:type="dxa"/>
            <w:tcBorders>
              <w:top w:val="single" w:color="000000" w:sz="4" w:space="0"/>
              <w:left w:val="single" w:color="000000" w:sz="4" w:space="0"/>
              <w:bottom w:val="single" w:color="000000" w:sz="4" w:space="0"/>
              <w:right w:val="single" w:color="auto" w:sz="4" w:space="0"/>
            </w:tcBorders>
            <w:shd w:val="clear" w:color="auto" w:fill="auto"/>
            <w:vAlign w:val="center"/>
          </w:tcPr>
          <w:p w14:paraId="47A58D69">
            <w:pPr>
              <w:keepNext w:val="0"/>
              <w:keepLines w:val="0"/>
              <w:widowControl/>
              <w:suppressLineNumbers w:val="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3</w:t>
            </w:r>
          </w:p>
        </w:tc>
        <w:tc>
          <w:tcPr>
            <w:tcW w:w="1021" w:type="dxa"/>
            <w:tcBorders>
              <w:top w:val="single" w:color="000000" w:sz="4" w:space="0"/>
              <w:left w:val="single" w:color="auto" w:sz="4" w:space="0"/>
              <w:bottom w:val="single" w:color="000000" w:sz="4" w:space="0"/>
              <w:right w:val="single" w:color="000000" w:sz="4" w:space="0"/>
            </w:tcBorders>
            <w:shd w:val="clear" w:color="auto" w:fill="auto"/>
            <w:vAlign w:val="center"/>
          </w:tcPr>
          <w:p w14:paraId="09D92C57">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100%</w:t>
            </w:r>
          </w:p>
        </w:tc>
        <w:tc>
          <w:tcPr>
            <w:tcW w:w="666" w:type="dxa"/>
            <w:tcBorders>
              <w:top w:val="single" w:color="000000" w:sz="4" w:space="0"/>
              <w:left w:val="single" w:color="000000" w:sz="4" w:space="0"/>
              <w:bottom w:val="single" w:color="000000" w:sz="4" w:space="0"/>
              <w:right w:val="single" w:color="auto" w:sz="4" w:space="0"/>
            </w:tcBorders>
            <w:shd w:val="clear" w:color="auto" w:fill="auto"/>
            <w:vAlign w:val="center"/>
          </w:tcPr>
          <w:p w14:paraId="4204B8CF">
            <w:pPr>
              <w:keepNext w:val="0"/>
              <w:keepLines w:val="0"/>
              <w:widowControl/>
              <w:suppressLineNumbers w:val="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2</w:t>
            </w:r>
          </w:p>
        </w:tc>
        <w:tc>
          <w:tcPr>
            <w:tcW w:w="1021" w:type="dxa"/>
            <w:tcBorders>
              <w:top w:val="single" w:color="000000" w:sz="4" w:space="0"/>
              <w:left w:val="single" w:color="auto" w:sz="4" w:space="0"/>
              <w:bottom w:val="single" w:color="000000" w:sz="4" w:space="0"/>
              <w:right w:val="single" w:color="000000" w:sz="4" w:space="0"/>
            </w:tcBorders>
            <w:shd w:val="clear" w:color="auto" w:fill="auto"/>
            <w:vAlign w:val="center"/>
          </w:tcPr>
          <w:p w14:paraId="5BEE50BC">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67%</w:t>
            </w:r>
          </w:p>
        </w:tc>
        <w:tc>
          <w:tcPr>
            <w:tcW w:w="666" w:type="dxa"/>
            <w:tcBorders>
              <w:top w:val="single" w:color="000000" w:sz="4" w:space="0"/>
              <w:left w:val="single" w:color="000000" w:sz="4" w:space="0"/>
              <w:bottom w:val="single" w:color="000000" w:sz="4" w:space="0"/>
              <w:right w:val="single" w:color="auto" w:sz="4" w:space="0"/>
            </w:tcBorders>
            <w:shd w:val="clear" w:color="auto" w:fill="auto"/>
            <w:vAlign w:val="center"/>
          </w:tcPr>
          <w:p w14:paraId="752F4E5B">
            <w:pPr>
              <w:keepNext w:val="0"/>
              <w:keepLines w:val="0"/>
              <w:widowControl/>
              <w:suppressLineNumbers w:val="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2</w:t>
            </w:r>
          </w:p>
        </w:tc>
        <w:tc>
          <w:tcPr>
            <w:tcW w:w="1021" w:type="dxa"/>
            <w:tcBorders>
              <w:top w:val="single" w:color="000000" w:sz="4" w:space="0"/>
              <w:left w:val="single" w:color="auto" w:sz="4" w:space="0"/>
              <w:bottom w:val="single" w:color="000000" w:sz="4" w:space="0"/>
              <w:right w:val="single" w:color="000000" w:sz="4" w:space="0"/>
            </w:tcBorders>
            <w:shd w:val="clear" w:color="auto" w:fill="auto"/>
            <w:vAlign w:val="center"/>
          </w:tcPr>
          <w:p w14:paraId="2F1E018F">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67%</w:t>
            </w:r>
          </w:p>
        </w:tc>
        <w:tc>
          <w:tcPr>
            <w:tcW w:w="666" w:type="dxa"/>
            <w:tcBorders>
              <w:top w:val="single" w:color="000000" w:sz="4" w:space="0"/>
              <w:left w:val="single" w:color="000000" w:sz="4" w:space="0"/>
              <w:bottom w:val="single" w:color="000000" w:sz="4" w:space="0"/>
              <w:right w:val="single" w:color="auto" w:sz="4" w:space="0"/>
            </w:tcBorders>
            <w:shd w:val="clear" w:color="auto" w:fill="auto"/>
            <w:vAlign w:val="center"/>
          </w:tcPr>
          <w:p w14:paraId="004800B3">
            <w:pPr>
              <w:keepNext w:val="0"/>
              <w:keepLines w:val="0"/>
              <w:widowControl/>
              <w:suppressLineNumbers w:val="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0</w:t>
            </w:r>
          </w:p>
        </w:tc>
        <w:tc>
          <w:tcPr>
            <w:tcW w:w="910" w:type="dxa"/>
            <w:tcBorders>
              <w:top w:val="single" w:color="000000" w:sz="4" w:space="0"/>
              <w:left w:val="single" w:color="auto" w:sz="4" w:space="0"/>
              <w:bottom w:val="single" w:color="000000" w:sz="4" w:space="0"/>
              <w:right w:val="single" w:color="000000" w:sz="4" w:space="0"/>
            </w:tcBorders>
            <w:shd w:val="clear" w:color="auto" w:fill="auto"/>
            <w:vAlign w:val="center"/>
          </w:tcPr>
          <w:p w14:paraId="52787F7F">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0%</w:t>
            </w:r>
          </w:p>
        </w:tc>
        <w:tc>
          <w:tcPr>
            <w:tcW w:w="666" w:type="dxa"/>
            <w:tcBorders>
              <w:top w:val="single" w:color="000000" w:sz="4" w:space="0"/>
              <w:left w:val="single" w:color="000000" w:sz="4" w:space="0"/>
              <w:bottom w:val="single" w:color="000000" w:sz="4" w:space="0"/>
              <w:right w:val="single" w:color="auto" w:sz="4" w:space="0"/>
            </w:tcBorders>
            <w:shd w:val="clear" w:color="auto" w:fill="auto"/>
            <w:vAlign w:val="center"/>
          </w:tcPr>
          <w:p w14:paraId="65DAC28D">
            <w:pPr>
              <w:keepNext w:val="0"/>
              <w:keepLines w:val="0"/>
              <w:widowControl/>
              <w:suppressLineNumbers w:val="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0</w:t>
            </w:r>
          </w:p>
        </w:tc>
        <w:tc>
          <w:tcPr>
            <w:tcW w:w="799" w:type="dxa"/>
            <w:tcBorders>
              <w:top w:val="single" w:color="000000" w:sz="4" w:space="0"/>
              <w:left w:val="single" w:color="auto" w:sz="4" w:space="0"/>
              <w:bottom w:val="single" w:color="000000" w:sz="4" w:space="0"/>
              <w:right w:val="single" w:color="000000" w:sz="4" w:space="0"/>
            </w:tcBorders>
            <w:shd w:val="clear" w:color="auto" w:fill="auto"/>
            <w:vAlign w:val="center"/>
          </w:tcPr>
          <w:p w14:paraId="0C592DF1">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0%</w:t>
            </w:r>
          </w:p>
        </w:tc>
      </w:tr>
      <w:tr w14:paraId="71104679">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675094">
            <w:pPr>
              <w:widowControl/>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rPr>
              <w:t>锦溪镇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ED2C88">
            <w:pPr>
              <w:widowControl/>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rPr>
              <w:t>2</w:t>
            </w:r>
          </w:p>
        </w:tc>
        <w:tc>
          <w:tcPr>
            <w:tcW w:w="672" w:type="dxa"/>
            <w:tcBorders>
              <w:top w:val="single" w:color="000000" w:sz="4" w:space="0"/>
              <w:left w:val="single" w:color="000000" w:sz="4" w:space="0"/>
              <w:bottom w:val="single" w:color="000000" w:sz="4" w:space="0"/>
              <w:right w:val="single" w:color="auto" w:sz="4" w:space="0"/>
            </w:tcBorders>
            <w:shd w:val="clear" w:color="auto" w:fill="auto"/>
            <w:vAlign w:val="center"/>
          </w:tcPr>
          <w:p w14:paraId="4BFF112F">
            <w:pPr>
              <w:keepNext w:val="0"/>
              <w:keepLines w:val="0"/>
              <w:widowControl/>
              <w:suppressLineNumbers w:val="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2</w:t>
            </w:r>
          </w:p>
        </w:tc>
        <w:tc>
          <w:tcPr>
            <w:tcW w:w="1020" w:type="dxa"/>
            <w:tcBorders>
              <w:top w:val="single" w:color="000000" w:sz="4" w:space="0"/>
              <w:left w:val="single" w:color="auto" w:sz="4" w:space="0"/>
              <w:bottom w:val="single" w:color="000000" w:sz="4" w:space="0"/>
              <w:right w:val="single" w:color="000000" w:sz="4" w:space="0"/>
            </w:tcBorders>
            <w:shd w:val="clear" w:color="auto" w:fill="auto"/>
            <w:vAlign w:val="center"/>
          </w:tcPr>
          <w:p w14:paraId="6FA13F92">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100%</w:t>
            </w:r>
          </w:p>
        </w:tc>
        <w:tc>
          <w:tcPr>
            <w:tcW w:w="666" w:type="dxa"/>
            <w:tcBorders>
              <w:top w:val="single" w:color="000000" w:sz="4" w:space="0"/>
              <w:left w:val="single" w:color="000000" w:sz="4" w:space="0"/>
              <w:bottom w:val="single" w:color="000000" w:sz="4" w:space="0"/>
              <w:right w:val="single" w:color="auto" w:sz="4" w:space="0"/>
            </w:tcBorders>
            <w:shd w:val="clear" w:color="auto" w:fill="auto"/>
            <w:vAlign w:val="center"/>
          </w:tcPr>
          <w:p w14:paraId="3C6D242A">
            <w:pPr>
              <w:keepNext w:val="0"/>
              <w:keepLines w:val="0"/>
              <w:widowControl/>
              <w:suppressLineNumbers w:val="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2</w:t>
            </w:r>
          </w:p>
        </w:tc>
        <w:tc>
          <w:tcPr>
            <w:tcW w:w="1021" w:type="dxa"/>
            <w:tcBorders>
              <w:top w:val="single" w:color="000000" w:sz="4" w:space="0"/>
              <w:left w:val="single" w:color="auto" w:sz="4" w:space="0"/>
              <w:bottom w:val="single" w:color="000000" w:sz="4" w:space="0"/>
              <w:right w:val="single" w:color="000000" w:sz="4" w:space="0"/>
            </w:tcBorders>
            <w:shd w:val="clear" w:color="auto" w:fill="auto"/>
            <w:vAlign w:val="center"/>
          </w:tcPr>
          <w:p w14:paraId="6FE58F44">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100%</w:t>
            </w:r>
          </w:p>
        </w:tc>
        <w:tc>
          <w:tcPr>
            <w:tcW w:w="666" w:type="dxa"/>
            <w:tcBorders>
              <w:top w:val="single" w:color="000000" w:sz="4" w:space="0"/>
              <w:left w:val="single" w:color="000000" w:sz="4" w:space="0"/>
              <w:bottom w:val="single" w:color="000000" w:sz="4" w:space="0"/>
              <w:right w:val="single" w:color="auto" w:sz="4" w:space="0"/>
            </w:tcBorders>
            <w:shd w:val="clear" w:color="auto" w:fill="auto"/>
            <w:vAlign w:val="center"/>
          </w:tcPr>
          <w:p w14:paraId="2B6FCBAF">
            <w:pPr>
              <w:keepNext w:val="0"/>
              <w:keepLines w:val="0"/>
              <w:widowControl/>
              <w:suppressLineNumbers w:val="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2</w:t>
            </w:r>
          </w:p>
        </w:tc>
        <w:tc>
          <w:tcPr>
            <w:tcW w:w="1021" w:type="dxa"/>
            <w:tcBorders>
              <w:top w:val="single" w:color="000000" w:sz="4" w:space="0"/>
              <w:left w:val="single" w:color="auto" w:sz="4" w:space="0"/>
              <w:bottom w:val="single" w:color="000000" w:sz="4" w:space="0"/>
              <w:right w:val="single" w:color="000000" w:sz="4" w:space="0"/>
            </w:tcBorders>
            <w:shd w:val="clear" w:color="auto" w:fill="auto"/>
            <w:vAlign w:val="center"/>
          </w:tcPr>
          <w:p w14:paraId="40306B97">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100%</w:t>
            </w:r>
          </w:p>
        </w:tc>
        <w:tc>
          <w:tcPr>
            <w:tcW w:w="666" w:type="dxa"/>
            <w:tcBorders>
              <w:top w:val="single" w:color="000000" w:sz="4" w:space="0"/>
              <w:left w:val="single" w:color="000000" w:sz="4" w:space="0"/>
              <w:bottom w:val="single" w:color="000000" w:sz="4" w:space="0"/>
              <w:right w:val="single" w:color="auto" w:sz="4" w:space="0"/>
            </w:tcBorders>
            <w:shd w:val="clear" w:color="auto" w:fill="auto"/>
            <w:vAlign w:val="center"/>
          </w:tcPr>
          <w:p w14:paraId="2426BFF6">
            <w:pPr>
              <w:keepNext w:val="0"/>
              <w:keepLines w:val="0"/>
              <w:widowControl/>
              <w:suppressLineNumbers w:val="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2</w:t>
            </w:r>
          </w:p>
        </w:tc>
        <w:tc>
          <w:tcPr>
            <w:tcW w:w="1021" w:type="dxa"/>
            <w:tcBorders>
              <w:top w:val="single" w:color="000000" w:sz="4" w:space="0"/>
              <w:left w:val="single" w:color="auto" w:sz="4" w:space="0"/>
              <w:bottom w:val="single" w:color="000000" w:sz="4" w:space="0"/>
              <w:right w:val="single" w:color="000000" w:sz="4" w:space="0"/>
            </w:tcBorders>
            <w:shd w:val="clear" w:color="auto" w:fill="auto"/>
            <w:vAlign w:val="center"/>
          </w:tcPr>
          <w:p w14:paraId="40A16A56">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100%</w:t>
            </w:r>
          </w:p>
        </w:tc>
        <w:tc>
          <w:tcPr>
            <w:tcW w:w="666" w:type="dxa"/>
            <w:tcBorders>
              <w:top w:val="single" w:color="000000" w:sz="4" w:space="0"/>
              <w:left w:val="single" w:color="000000" w:sz="4" w:space="0"/>
              <w:bottom w:val="single" w:color="000000" w:sz="4" w:space="0"/>
              <w:right w:val="single" w:color="auto" w:sz="4" w:space="0"/>
            </w:tcBorders>
            <w:shd w:val="clear" w:color="auto" w:fill="auto"/>
            <w:vAlign w:val="center"/>
          </w:tcPr>
          <w:p w14:paraId="1E7D36AF">
            <w:pPr>
              <w:keepNext w:val="0"/>
              <w:keepLines w:val="0"/>
              <w:widowControl/>
              <w:suppressLineNumbers w:val="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2</w:t>
            </w:r>
          </w:p>
        </w:tc>
        <w:tc>
          <w:tcPr>
            <w:tcW w:w="1021" w:type="dxa"/>
            <w:tcBorders>
              <w:top w:val="single" w:color="000000" w:sz="4" w:space="0"/>
              <w:left w:val="single" w:color="auto" w:sz="4" w:space="0"/>
              <w:bottom w:val="single" w:color="000000" w:sz="4" w:space="0"/>
              <w:right w:val="single" w:color="000000" w:sz="4" w:space="0"/>
            </w:tcBorders>
            <w:shd w:val="clear" w:color="auto" w:fill="auto"/>
            <w:vAlign w:val="center"/>
          </w:tcPr>
          <w:p w14:paraId="06A5BBF7">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100%</w:t>
            </w:r>
          </w:p>
        </w:tc>
        <w:tc>
          <w:tcPr>
            <w:tcW w:w="666" w:type="dxa"/>
            <w:tcBorders>
              <w:top w:val="single" w:color="000000" w:sz="4" w:space="0"/>
              <w:left w:val="single" w:color="000000" w:sz="4" w:space="0"/>
              <w:bottom w:val="single" w:color="000000" w:sz="4" w:space="0"/>
              <w:right w:val="single" w:color="auto" w:sz="4" w:space="0"/>
            </w:tcBorders>
            <w:shd w:val="clear" w:color="auto" w:fill="auto"/>
            <w:vAlign w:val="center"/>
          </w:tcPr>
          <w:p w14:paraId="29A9FAA4">
            <w:pPr>
              <w:keepNext w:val="0"/>
              <w:keepLines w:val="0"/>
              <w:widowControl/>
              <w:suppressLineNumbers w:val="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0</w:t>
            </w:r>
          </w:p>
        </w:tc>
        <w:tc>
          <w:tcPr>
            <w:tcW w:w="910" w:type="dxa"/>
            <w:tcBorders>
              <w:top w:val="single" w:color="000000" w:sz="4" w:space="0"/>
              <w:left w:val="single" w:color="auto" w:sz="4" w:space="0"/>
              <w:bottom w:val="single" w:color="000000" w:sz="4" w:space="0"/>
              <w:right w:val="single" w:color="000000" w:sz="4" w:space="0"/>
            </w:tcBorders>
            <w:shd w:val="clear" w:color="auto" w:fill="auto"/>
            <w:vAlign w:val="center"/>
          </w:tcPr>
          <w:p w14:paraId="2B9976A5">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0%</w:t>
            </w:r>
          </w:p>
        </w:tc>
        <w:tc>
          <w:tcPr>
            <w:tcW w:w="666" w:type="dxa"/>
            <w:tcBorders>
              <w:top w:val="single" w:color="000000" w:sz="4" w:space="0"/>
              <w:left w:val="single" w:color="000000" w:sz="4" w:space="0"/>
              <w:bottom w:val="single" w:color="000000" w:sz="4" w:space="0"/>
              <w:right w:val="single" w:color="auto" w:sz="4" w:space="0"/>
            </w:tcBorders>
            <w:shd w:val="clear" w:color="auto" w:fill="auto"/>
            <w:vAlign w:val="center"/>
          </w:tcPr>
          <w:p w14:paraId="6FD2DCD5">
            <w:pPr>
              <w:keepNext w:val="0"/>
              <w:keepLines w:val="0"/>
              <w:widowControl/>
              <w:suppressLineNumbers w:val="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0</w:t>
            </w:r>
          </w:p>
        </w:tc>
        <w:tc>
          <w:tcPr>
            <w:tcW w:w="799" w:type="dxa"/>
            <w:tcBorders>
              <w:top w:val="single" w:color="000000" w:sz="4" w:space="0"/>
              <w:left w:val="single" w:color="auto" w:sz="4" w:space="0"/>
              <w:bottom w:val="single" w:color="000000" w:sz="4" w:space="0"/>
              <w:right w:val="single" w:color="000000" w:sz="4" w:space="0"/>
            </w:tcBorders>
            <w:shd w:val="clear" w:color="auto" w:fill="auto"/>
            <w:vAlign w:val="center"/>
          </w:tcPr>
          <w:p w14:paraId="50C0B851">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等线" w:cs="Times New Roman"/>
                <w:i w:val="0"/>
                <w:iCs w:val="0"/>
                <w:color w:val="auto"/>
                <w:spacing w:val="-4"/>
                <w:kern w:val="0"/>
                <w:sz w:val="22"/>
                <w:szCs w:val="22"/>
                <w:highlight w:val="none"/>
                <w:u w:val="none"/>
                <w:lang w:val="en-US" w:eastAsia="zh-CN" w:bidi="ar"/>
              </w:rPr>
              <w:t>0%</w:t>
            </w:r>
          </w:p>
        </w:tc>
      </w:tr>
    </w:tbl>
    <w:p w14:paraId="7000E1E7">
      <w:pPr>
        <w:spacing w:line="700" w:lineRule="exact"/>
        <w:rPr>
          <w:rFonts w:hint="default" w:ascii="Times New Roman" w:hAnsi="Times New Roman" w:eastAsia="黑体" w:cs="Times New Roman"/>
          <w:snapToGrid w:val="0"/>
          <w:color w:val="auto"/>
          <w:kern w:val="0"/>
          <w:szCs w:val="32"/>
          <w:highlight w:val="none"/>
        </w:rPr>
        <w:sectPr>
          <w:pgSz w:w="16838" w:h="11906" w:orient="landscape"/>
          <w:pgMar w:top="1800" w:right="1440" w:bottom="1800" w:left="1440" w:header="851" w:footer="992" w:gutter="0"/>
          <w:pgNumType w:fmt="decimal"/>
          <w:cols w:space="425" w:num="1"/>
          <w:docGrid w:type="lines" w:linePitch="435" w:charSpace="0"/>
        </w:sectPr>
      </w:pPr>
    </w:p>
    <w:p w14:paraId="28A6CD41">
      <w:pPr>
        <w:spacing w:line="700" w:lineRule="exact"/>
        <w:rPr>
          <w:rFonts w:hint="default" w:ascii="Times New Roman" w:hAnsi="Times New Roman" w:eastAsia="黑体" w:cs="Times New Roman"/>
          <w:snapToGrid w:val="0"/>
          <w:color w:val="auto"/>
          <w:kern w:val="0"/>
          <w:szCs w:val="32"/>
          <w:highlight w:val="none"/>
        </w:rPr>
      </w:pPr>
      <w:r>
        <w:rPr>
          <w:rFonts w:hint="default" w:ascii="Times New Roman" w:hAnsi="Times New Roman" w:eastAsia="黑体" w:cs="Times New Roman"/>
          <w:snapToGrid w:val="0"/>
          <w:color w:val="auto"/>
          <w:kern w:val="0"/>
          <w:szCs w:val="32"/>
          <w:highlight w:val="none"/>
        </w:rPr>
        <w:t>附件3</w:t>
      </w:r>
    </w:p>
    <w:p w14:paraId="10EB781D">
      <w:pPr>
        <w:adjustRightInd w:val="0"/>
        <w:snapToGrid w:val="0"/>
        <w:spacing w:after="100" w:afterAutospacing="1" w:line="580" w:lineRule="exact"/>
        <w:jc w:val="center"/>
        <w:rPr>
          <w:rFonts w:hint="default" w:ascii="Times New Roman" w:hAnsi="Times New Roman" w:eastAsia="方正小标宋简体" w:cs="Times New Roman"/>
          <w:snapToGrid w:val="0"/>
          <w:color w:val="auto"/>
          <w:kern w:val="0"/>
          <w:sz w:val="44"/>
          <w:szCs w:val="44"/>
          <w:highlight w:val="none"/>
          <w:shd w:val="clear" w:color="FFFFFF" w:fill="D9D9D9"/>
        </w:rPr>
      </w:pPr>
      <w:r>
        <w:rPr>
          <w:rFonts w:hint="default" w:ascii="Times New Roman" w:hAnsi="Times New Roman" w:eastAsia="方正小标宋简体" w:cs="Times New Roman"/>
          <w:snapToGrid w:val="0"/>
          <w:color w:val="auto"/>
          <w:kern w:val="0"/>
          <w:sz w:val="44"/>
          <w:szCs w:val="44"/>
          <w:highlight w:val="none"/>
        </w:rPr>
        <w:t>2025年社区嵌入式服务设施试点项目清单</w:t>
      </w:r>
    </w:p>
    <w:tbl>
      <w:tblPr>
        <w:tblStyle w:val="6"/>
        <w:tblW w:w="15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
        <w:gridCol w:w="1691"/>
        <w:gridCol w:w="623"/>
        <w:gridCol w:w="1126"/>
        <w:gridCol w:w="707"/>
        <w:gridCol w:w="624"/>
        <w:gridCol w:w="624"/>
        <w:gridCol w:w="831"/>
        <w:gridCol w:w="2654"/>
        <w:gridCol w:w="562"/>
        <w:gridCol w:w="684"/>
        <w:gridCol w:w="966"/>
        <w:gridCol w:w="684"/>
        <w:gridCol w:w="692"/>
        <w:gridCol w:w="623"/>
        <w:gridCol w:w="1673"/>
      </w:tblGrid>
      <w:tr w14:paraId="61BC1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blHeader/>
          <w:jc w:val="center"/>
        </w:trPr>
        <w:tc>
          <w:tcPr>
            <w:tcW w:w="435" w:type="dxa"/>
            <w:vMerge w:val="restart"/>
            <w:shd w:val="clear" w:color="auto" w:fill="auto"/>
            <w:vAlign w:val="center"/>
          </w:tcPr>
          <w:p w14:paraId="35BDB76C">
            <w:pPr>
              <w:widowControl/>
              <w:adjustRightInd w:val="0"/>
              <w:snapToGrid w:val="0"/>
              <w:jc w:val="center"/>
              <w:rPr>
                <w:rFonts w:hint="default" w:ascii="Times New Roman" w:hAnsi="Times New Roman" w:eastAsia="黑体" w:cs="Times New Roman"/>
                <w:bCs/>
                <w:snapToGrid w:val="0"/>
                <w:color w:val="auto"/>
                <w:kern w:val="0"/>
                <w:sz w:val="18"/>
                <w:szCs w:val="18"/>
                <w:highlight w:val="none"/>
              </w:rPr>
            </w:pPr>
            <w:r>
              <w:rPr>
                <w:rFonts w:hint="default" w:ascii="Times New Roman" w:hAnsi="Times New Roman" w:eastAsia="黑体" w:cs="Times New Roman"/>
                <w:bCs/>
                <w:snapToGrid w:val="0"/>
                <w:color w:val="auto"/>
                <w:kern w:val="0"/>
                <w:sz w:val="18"/>
                <w:szCs w:val="18"/>
                <w:highlight w:val="none"/>
              </w:rPr>
              <w:t>序号</w:t>
            </w:r>
          </w:p>
        </w:tc>
        <w:tc>
          <w:tcPr>
            <w:tcW w:w="1691" w:type="dxa"/>
            <w:vMerge w:val="restart"/>
            <w:shd w:val="clear" w:color="auto" w:fill="auto"/>
            <w:vAlign w:val="center"/>
          </w:tcPr>
          <w:p w14:paraId="3207C3F6">
            <w:pPr>
              <w:widowControl/>
              <w:adjustRightInd w:val="0"/>
              <w:snapToGrid w:val="0"/>
              <w:jc w:val="center"/>
              <w:rPr>
                <w:rFonts w:hint="default" w:ascii="Times New Roman" w:hAnsi="Times New Roman" w:eastAsia="黑体" w:cs="Times New Roman"/>
                <w:bCs/>
                <w:snapToGrid w:val="0"/>
                <w:color w:val="auto"/>
                <w:kern w:val="0"/>
                <w:sz w:val="18"/>
                <w:szCs w:val="18"/>
                <w:highlight w:val="none"/>
              </w:rPr>
            </w:pPr>
            <w:r>
              <w:rPr>
                <w:rFonts w:hint="default" w:ascii="Times New Roman" w:hAnsi="Times New Roman" w:eastAsia="黑体" w:cs="Times New Roman"/>
                <w:bCs/>
                <w:snapToGrid w:val="0"/>
                <w:color w:val="auto"/>
                <w:kern w:val="0"/>
                <w:sz w:val="18"/>
                <w:szCs w:val="18"/>
                <w:highlight w:val="none"/>
              </w:rPr>
              <w:t>项目名称</w:t>
            </w:r>
          </w:p>
        </w:tc>
        <w:tc>
          <w:tcPr>
            <w:tcW w:w="623" w:type="dxa"/>
            <w:vMerge w:val="restart"/>
            <w:shd w:val="clear" w:color="auto" w:fill="auto"/>
            <w:vAlign w:val="center"/>
          </w:tcPr>
          <w:p w14:paraId="4C3C0009">
            <w:pPr>
              <w:widowControl/>
              <w:adjustRightInd w:val="0"/>
              <w:snapToGrid w:val="0"/>
              <w:jc w:val="center"/>
              <w:rPr>
                <w:rFonts w:hint="default" w:ascii="Times New Roman" w:hAnsi="Times New Roman" w:eastAsia="黑体" w:cs="Times New Roman"/>
                <w:bCs/>
                <w:snapToGrid w:val="0"/>
                <w:color w:val="auto"/>
                <w:kern w:val="0"/>
                <w:sz w:val="18"/>
                <w:szCs w:val="18"/>
                <w:highlight w:val="none"/>
              </w:rPr>
            </w:pPr>
            <w:r>
              <w:rPr>
                <w:rFonts w:hint="default" w:ascii="Times New Roman" w:hAnsi="Times New Roman" w:eastAsia="黑体" w:cs="Times New Roman"/>
                <w:bCs/>
                <w:snapToGrid w:val="0"/>
                <w:color w:val="auto"/>
                <w:kern w:val="0"/>
                <w:sz w:val="18"/>
                <w:szCs w:val="18"/>
                <w:highlight w:val="none"/>
              </w:rPr>
              <w:t>建设性质</w:t>
            </w:r>
          </w:p>
        </w:tc>
        <w:tc>
          <w:tcPr>
            <w:tcW w:w="1126" w:type="dxa"/>
            <w:vMerge w:val="restart"/>
            <w:shd w:val="clear" w:color="auto" w:fill="auto"/>
            <w:vAlign w:val="center"/>
          </w:tcPr>
          <w:p w14:paraId="20752CEB">
            <w:pPr>
              <w:widowControl/>
              <w:adjustRightInd w:val="0"/>
              <w:snapToGrid w:val="0"/>
              <w:jc w:val="center"/>
              <w:rPr>
                <w:rFonts w:hint="default" w:ascii="Times New Roman" w:hAnsi="Times New Roman" w:eastAsia="黑体" w:cs="Times New Roman"/>
                <w:bCs/>
                <w:snapToGrid w:val="0"/>
                <w:color w:val="auto"/>
                <w:kern w:val="0"/>
                <w:sz w:val="18"/>
                <w:szCs w:val="18"/>
                <w:highlight w:val="none"/>
              </w:rPr>
            </w:pPr>
            <w:r>
              <w:rPr>
                <w:rFonts w:hint="default" w:ascii="Times New Roman" w:hAnsi="Times New Roman" w:eastAsia="黑体" w:cs="Times New Roman"/>
                <w:bCs/>
                <w:snapToGrid w:val="0"/>
                <w:color w:val="auto"/>
                <w:kern w:val="0"/>
                <w:sz w:val="18"/>
                <w:szCs w:val="18"/>
                <w:highlight w:val="none"/>
              </w:rPr>
              <w:t>项目(法人)单位</w:t>
            </w:r>
          </w:p>
        </w:tc>
        <w:tc>
          <w:tcPr>
            <w:tcW w:w="707" w:type="dxa"/>
            <w:vMerge w:val="restart"/>
            <w:shd w:val="clear" w:color="auto" w:fill="auto"/>
            <w:vAlign w:val="center"/>
          </w:tcPr>
          <w:p w14:paraId="3229E3BA">
            <w:pPr>
              <w:widowControl/>
              <w:adjustRightInd w:val="0"/>
              <w:snapToGrid w:val="0"/>
              <w:jc w:val="center"/>
              <w:rPr>
                <w:rFonts w:hint="default" w:ascii="Times New Roman" w:hAnsi="Times New Roman" w:eastAsia="黑体" w:cs="Times New Roman"/>
                <w:bCs/>
                <w:snapToGrid w:val="0"/>
                <w:color w:val="auto"/>
                <w:kern w:val="0"/>
                <w:sz w:val="18"/>
                <w:szCs w:val="18"/>
                <w:highlight w:val="none"/>
              </w:rPr>
            </w:pPr>
            <w:r>
              <w:rPr>
                <w:rFonts w:hint="default" w:ascii="Times New Roman" w:hAnsi="Times New Roman" w:eastAsia="黑体" w:cs="Times New Roman"/>
                <w:bCs/>
                <w:snapToGrid w:val="0"/>
                <w:color w:val="auto"/>
                <w:kern w:val="0"/>
                <w:sz w:val="18"/>
                <w:szCs w:val="18"/>
                <w:highlight w:val="none"/>
              </w:rPr>
              <w:t>建设</w:t>
            </w:r>
            <w:r>
              <w:rPr>
                <w:rFonts w:hint="default" w:ascii="Times New Roman" w:hAnsi="Times New Roman" w:eastAsia="黑体" w:cs="Times New Roman"/>
                <w:bCs/>
                <w:snapToGrid w:val="0"/>
                <w:color w:val="auto"/>
                <w:kern w:val="0"/>
                <w:sz w:val="18"/>
                <w:szCs w:val="18"/>
                <w:highlight w:val="none"/>
              </w:rPr>
              <w:br w:type="textWrapping"/>
            </w:r>
            <w:r>
              <w:rPr>
                <w:rFonts w:hint="default" w:ascii="Times New Roman" w:hAnsi="Times New Roman" w:eastAsia="黑体" w:cs="Times New Roman"/>
                <w:bCs/>
                <w:snapToGrid w:val="0"/>
                <w:color w:val="auto"/>
                <w:kern w:val="0"/>
                <w:sz w:val="18"/>
                <w:szCs w:val="18"/>
                <w:highlight w:val="none"/>
              </w:rPr>
              <w:t>规模（m2）</w:t>
            </w:r>
          </w:p>
        </w:tc>
        <w:tc>
          <w:tcPr>
            <w:tcW w:w="624" w:type="dxa"/>
            <w:vMerge w:val="restart"/>
            <w:shd w:val="clear" w:color="auto" w:fill="auto"/>
            <w:vAlign w:val="center"/>
          </w:tcPr>
          <w:p w14:paraId="63207787">
            <w:pPr>
              <w:widowControl/>
              <w:adjustRightInd w:val="0"/>
              <w:snapToGrid w:val="0"/>
              <w:jc w:val="center"/>
              <w:rPr>
                <w:rFonts w:hint="default" w:ascii="Times New Roman" w:hAnsi="Times New Roman" w:eastAsia="黑体" w:cs="Times New Roman"/>
                <w:bCs/>
                <w:snapToGrid w:val="0"/>
                <w:color w:val="auto"/>
                <w:kern w:val="0"/>
                <w:sz w:val="18"/>
                <w:szCs w:val="18"/>
                <w:highlight w:val="none"/>
              </w:rPr>
            </w:pPr>
            <w:r>
              <w:rPr>
                <w:rFonts w:hint="default" w:ascii="Times New Roman" w:hAnsi="Times New Roman" w:eastAsia="黑体" w:cs="Times New Roman"/>
                <w:bCs/>
                <w:snapToGrid w:val="0"/>
                <w:color w:val="auto"/>
                <w:kern w:val="0"/>
                <w:sz w:val="18"/>
                <w:szCs w:val="18"/>
                <w:highlight w:val="none"/>
              </w:rPr>
              <w:t>拟</w:t>
            </w:r>
          </w:p>
          <w:p w14:paraId="7DE28A82">
            <w:pPr>
              <w:widowControl/>
              <w:adjustRightInd w:val="0"/>
              <w:snapToGrid w:val="0"/>
              <w:jc w:val="center"/>
              <w:rPr>
                <w:rFonts w:hint="default" w:ascii="Times New Roman" w:hAnsi="Times New Roman" w:eastAsia="黑体" w:cs="Times New Roman"/>
                <w:bCs/>
                <w:snapToGrid w:val="0"/>
                <w:color w:val="auto"/>
                <w:kern w:val="0"/>
                <w:sz w:val="18"/>
                <w:szCs w:val="18"/>
                <w:highlight w:val="none"/>
              </w:rPr>
            </w:pPr>
            <w:r>
              <w:rPr>
                <w:rFonts w:hint="default" w:ascii="Times New Roman" w:hAnsi="Times New Roman" w:eastAsia="黑体" w:cs="Times New Roman"/>
                <w:bCs/>
                <w:snapToGrid w:val="0"/>
                <w:color w:val="auto"/>
                <w:kern w:val="0"/>
                <w:sz w:val="18"/>
                <w:szCs w:val="18"/>
                <w:highlight w:val="none"/>
              </w:rPr>
              <w:t>开工年份</w:t>
            </w:r>
          </w:p>
        </w:tc>
        <w:tc>
          <w:tcPr>
            <w:tcW w:w="624" w:type="dxa"/>
            <w:vMerge w:val="restart"/>
            <w:shd w:val="clear" w:color="auto" w:fill="auto"/>
            <w:vAlign w:val="center"/>
          </w:tcPr>
          <w:p w14:paraId="28BD8B5C">
            <w:pPr>
              <w:widowControl/>
              <w:adjustRightInd w:val="0"/>
              <w:snapToGrid w:val="0"/>
              <w:jc w:val="center"/>
              <w:rPr>
                <w:rFonts w:hint="default" w:ascii="Times New Roman" w:hAnsi="Times New Roman" w:eastAsia="黑体" w:cs="Times New Roman"/>
                <w:bCs/>
                <w:snapToGrid w:val="0"/>
                <w:color w:val="auto"/>
                <w:kern w:val="0"/>
                <w:sz w:val="18"/>
                <w:szCs w:val="18"/>
                <w:highlight w:val="none"/>
              </w:rPr>
            </w:pPr>
            <w:r>
              <w:rPr>
                <w:rFonts w:hint="default" w:ascii="Times New Roman" w:hAnsi="Times New Roman" w:eastAsia="黑体" w:cs="Times New Roman"/>
                <w:bCs/>
                <w:snapToGrid w:val="0"/>
                <w:color w:val="auto"/>
                <w:kern w:val="0"/>
                <w:sz w:val="18"/>
                <w:szCs w:val="18"/>
                <w:highlight w:val="none"/>
              </w:rPr>
              <w:t>拟</w:t>
            </w:r>
          </w:p>
          <w:p w14:paraId="4CB01494">
            <w:pPr>
              <w:widowControl/>
              <w:adjustRightInd w:val="0"/>
              <w:snapToGrid w:val="0"/>
              <w:jc w:val="center"/>
              <w:rPr>
                <w:rFonts w:hint="default" w:ascii="Times New Roman" w:hAnsi="Times New Roman" w:eastAsia="黑体" w:cs="Times New Roman"/>
                <w:bCs/>
                <w:snapToGrid w:val="0"/>
                <w:color w:val="auto"/>
                <w:kern w:val="0"/>
                <w:sz w:val="18"/>
                <w:szCs w:val="18"/>
                <w:highlight w:val="none"/>
              </w:rPr>
            </w:pPr>
            <w:r>
              <w:rPr>
                <w:rFonts w:hint="default" w:ascii="Times New Roman" w:hAnsi="Times New Roman" w:eastAsia="黑体" w:cs="Times New Roman"/>
                <w:bCs/>
                <w:snapToGrid w:val="0"/>
                <w:color w:val="auto"/>
                <w:kern w:val="0"/>
                <w:sz w:val="18"/>
                <w:szCs w:val="18"/>
                <w:highlight w:val="none"/>
              </w:rPr>
              <w:t>建成</w:t>
            </w:r>
          </w:p>
          <w:p w14:paraId="41A266AE">
            <w:pPr>
              <w:widowControl/>
              <w:adjustRightInd w:val="0"/>
              <w:snapToGrid w:val="0"/>
              <w:jc w:val="center"/>
              <w:rPr>
                <w:rFonts w:hint="default" w:ascii="Times New Roman" w:hAnsi="Times New Roman" w:eastAsia="黑体" w:cs="Times New Roman"/>
                <w:bCs/>
                <w:snapToGrid w:val="0"/>
                <w:color w:val="auto"/>
                <w:kern w:val="0"/>
                <w:sz w:val="18"/>
                <w:szCs w:val="18"/>
                <w:highlight w:val="none"/>
              </w:rPr>
            </w:pPr>
            <w:r>
              <w:rPr>
                <w:rFonts w:hint="default" w:ascii="Times New Roman" w:hAnsi="Times New Roman" w:eastAsia="黑体" w:cs="Times New Roman"/>
                <w:bCs/>
                <w:snapToGrid w:val="0"/>
                <w:color w:val="auto"/>
                <w:kern w:val="0"/>
                <w:sz w:val="18"/>
                <w:szCs w:val="18"/>
                <w:highlight w:val="none"/>
              </w:rPr>
              <w:t>年份</w:t>
            </w:r>
          </w:p>
        </w:tc>
        <w:tc>
          <w:tcPr>
            <w:tcW w:w="831" w:type="dxa"/>
            <w:vMerge w:val="restart"/>
            <w:shd w:val="clear" w:color="auto" w:fill="auto"/>
            <w:vAlign w:val="center"/>
          </w:tcPr>
          <w:p w14:paraId="015AA7F3">
            <w:pPr>
              <w:widowControl/>
              <w:adjustRightInd w:val="0"/>
              <w:snapToGrid w:val="0"/>
              <w:jc w:val="center"/>
              <w:rPr>
                <w:rFonts w:hint="default" w:ascii="Times New Roman" w:hAnsi="Times New Roman" w:eastAsia="黑体" w:cs="Times New Roman"/>
                <w:bCs/>
                <w:snapToGrid w:val="0"/>
                <w:color w:val="auto"/>
                <w:kern w:val="0"/>
                <w:sz w:val="18"/>
                <w:szCs w:val="18"/>
                <w:highlight w:val="none"/>
              </w:rPr>
            </w:pPr>
            <w:r>
              <w:rPr>
                <w:rFonts w:hint="default" w:ascii="Times New Roman" w:hAnsi="Times New Roman" w:eastAsia="黑体" w:cs="Times New Roman"/>
                <w:bCs/>
                <w:snapToGrid w:val="0"/>
                <w:color w:val="auto"/>
                <w:kern w:val="0"/>
                <w:sz w:val="18"/>
                <w:szCs w:val="18"/>
                <w:highlight w:val="none"/>
              </w:rPr>
              <w:t>总投资（万元）</w:t>
            </w:r>
          </w:p>
        </w:tc>
        <w:tc>
          <w:tcPr>
            <w:tcW w:w="2654" w:type="dxa"/>
            <w:vMerge w:val="restart"/>
            <w:shd w:val="clear" w:color="auto" w:fill="auto"/>
            <w:vAlign w:val="center"/>
          </w:tcPr>
          <w:p w14:paraId="5BD41708">
            <w:pPr>
              <w:widowControl/>
              <w:adjustRightInd w:val="0"/>
              <w:snapToGrid w:val="0"/>
              <w:jc w:val="center"/>
              <w:rPr>
                <w:rFonts w:hint="default" w:ascii="Times New Roman" w:hAnsi="Times New Roman" w:eastAsia="黑体" w:cs="Times New Roman"/>
                <w:bCs/>
                <w:snapToGrid w:val="0"/>
                <w:color w:val="auto"/>
                <w:kern w:val="0"/>
                <w:sz w:val="18"/>
                <w:szCs w:val="18"/>
                <w:highlight w:val="none"/>
              </w:rPr>
            </w:pPr>
            <w:r>
              <w:rPr>
                <w:rFonts w:hint="default" w:ascii="Times New Roman" w:hAnsi="Times New Roman" w:eastAsia="黑体" w:cs="Times New Roman"/>
                <w:bCs/>
                <w:snapToGrid w:val="0"/>
                <w:color w:val="auto"/>
                <w:kern w:val="0"/>
                <w:sz w:val="18"/>
                <w:szCs w:val="18"/>
                <w:highlight w:val="none"/>
              </w:rPr>
              <w:t>建设内容</w:t>
            </w:r>
          </w:p>
        </w:tc>
        <w:tc>
          <w:tcPr>
            <w:tcW w:w="562" w:type="dxa"/>
            <w:vMerge w:val="restart"/>
            <w:shd w:val="clear" w:color="auto" w:fill="auto"/>
            <w:vAlign w:val="center"/>
          </w:tcPr>
          <w:p w14:paraId="05A4333B">
            <w:pPr>
              <w:widowControl/>
              <w:adjustRightInd w:val="0"/>
              <w:snapToGrid w:val="0"/>
              <w:jc w:val="center"/>
              <w:rPr>
                <w:rFonts w:hint="default" w:ascii="Times New Roman" w:hAnsi="Times New Roman" w:eastAsia="黑体" w:cs="Times New Roman"/>
                <w:bCs/>
                <w:snapToGrid w:val="0"/>
                <w:color w:val="auto"/>
                <w:kern w:val="0"/>
                <w:sz w:val="18"/>
                <w:szCs w:val="18"/>
                <w:highlight w:val="none"/>
              </w:rPr>
            </w:pPr>
            <w:r>
              <w:rPr>
                <w:rFonts w:hint="default" w:ascii="Times New Roman" w:hAnsi="Times New Roman" w:eastAsia="黑体" w:cs="Times New Roman"/>
                <w:bCs/>
                <w:snapToGrid w:val="0"/>
                <w:color w:val="auto"/>
                <w:kern w:val="0"/>
                <w:sz w:val="18"/>
                <w:szCs w:val="18"/>
                <w:highlight w:val="none"/>
              </w:rPr>
              <w:t>服务社区数量(个)</w:t>
            </w:r>
          </w:p>
        </w:tc>
        <w:tc>
          <w:tcPr>
            <w:tcW w:w="684" w:type="dxa"/>
            <w:vMerge w:val="restart"/>
            <w:shd w:val="clear" w:color="auto" w:fill="auto"/>
            <w:vAlign w:val="center"/>
          </w:tcPr>
          <w:p w14:paraId="661813C2">
            <w:pPr>
              <w:widowControl/>
              <w:adjustRightInd w:val="0"/>
              <w:snapToGrid w:val="0"/>
              <w:jc w:val="center"/>
              <w:rPr>
                <w:rFonts w:hint="default" w:ascii="Times New Roman" w:hAnsi="Times New Roman" w:eastAsia="黑体" w:cs="Times New Roman"/>
                <w:bCs/>
                <w:snapToGrid w:val="0"/>
                <w:color w:val="auto"/>
                <w:kern w:val="0"/>
                <w:sz w:val="18"/>
                <w:szCs w:val="18"/>
                <w:highlight w:val="none"/>
              </w:rPr>
            </w:pPr>
            <w:r>
              <w:rPr>
                <w:rFonts w:hint="default" w:ascii="Times New Roman" w:hAnsi="Times New Roman" w:eastAsia="黑体" w:cs="Times New Roman"/>
                <w:bCs/>
                <w:snapToGrid w:val="0"/>
                <w:color w:val="auto"/>
                <w:kern w:val="0"/>
                <w:sz w:val="18"/>
                <w:szCs w:val="18"/>
                <w:highlight w:val="none"/>
              </w:rPr>
              <w:t>服务</w:t>
            </w:r>
            <w:r>
              <w:rPr>
                <w:rFonts w:hint="default" w:ascii="Times New Roman" w:hAnsi="Times New Roman" w:eastAsia="黑体" w:cs="Times New Roman"/>
                <w:bCs/>
                <w:snapToGrid w:val="0"/>
                <w:color w:val="auto"/>
                <w:kern w:val="0"/>
                <w:sz w:val="18"/>
                <w:szCs w:val="18"/>
                <w:highlight w:val="none"/>
              </w:rPr>
              <w:br w:type="textWrapping"/>
            </w:r>
            <w:r>
              <w:rPr>
                <w:rFonts w:hint="default" w:ascii="Times New Roman" w:hAnsi="Times New Roman" w:eastAsia="黑体" w:cs="Times New Roman"/>
                <w:bCs/>
                <w:snapToGrid w:val="0"/>
                <w:color w:val="auto"/>
                <w:kern w:val="0"/>
                <w:sz w:val="18"/>
                <w:szCs w:val="18"/>
                <w:highlight w:val="none"/>
              </w:rPr>
              <w:t>常住</w:t>
            </w:r>
            <w:r>
              <w:rPr>
                <w:rFonts w:hint="default" w:ascii="Times New Roman" w:hAnsi="Times New Roman" w:eastAsia="黑体" w:cs="Times New Roman"/>
                <w:bCs/>
                <w:snapToGrid w:val="0"/>
                <w:color w:val="auto"/>
                <w:kern w:val="0"/>
                <w:sz w:val="18"/>
                <w:szCs w:val="18"/>
                <w:highlight w:val="none"/>
              </w:rPr>
              <w:br w:type="textWrapping"/>
            </w:r>
            <w:r>
              <w:rPr>
                <w:rFonts w:hint="default" w:ascii="Times New Roman" w:hAnsi="Times New Roman" w:eastAsia="黑体" w:cs="Times New Roman"/>
                <w:bCs/>
                <w:snapToGrid w:val="0"/>
                <w:color w:val="auto"/>
                <w:kern w:val="0"/>
                <w:sz w:val="18"/>
                <w:szCs w:val="18"/>
                <w:highlight w:val="none"/>
              </w:rPr>
              <w:t>人口（人）</w:t>
            </w:r>
          </w:p>
        </w:tc>
        <w:tc>
          <w:tcPr>
            <w:tcW w:w="2342" w:type="dxa"/>
            <w:gridSpan w:val="3"/>
            <w:shd w:val="clear" w:color="auto" w:fill="auto"/>
            <w:vAlign w:val="center"/>
          </w:tcPr>
          <w:p w14:paraId="1067D59A">
            <w:pPr>
              <w:widowControl/>
              <w:adjustRightInd w:val="0"/>
              <w:snapToGrid w:val="0"/>
              <w:jc w:val="center"/>
              <w:rPr>
                <w:rFonts w:hint="default" w:ascii="Times New Roman" w:hAnsi="Times New Roman" w:eastAsia="黑体" w:cs="Times New Roman"/>
                <w:bCs/>
                <w:snapToGrid w:val="0"/>
                <w:color w:val="auto"/>
                <w:kern w:val="0"/>
                <w:sz w:val="18"/>
                <w:szCs w:val="18"/>
                <w:highlight w:val="none"/>
              </w:rPr>
            </w:pPr>
            <w:r>
              <w:rPr>
                <w:rFonts w:hint="default" w:ascii="Times New Roman" w:hAnsi="Times New Roman" w:eastAsia="黑体" w:cs="Times New Roman"/>
                <w:bCs/>
                <w:snapToGrid w:val="0"/>
                <w:color w:val="auto"/>
                <w:kern w:val="0"/>
                <w:sz w:val="18"/>
                <w:szCs w:val="18"/>
                <w:highlight w:val="none"/>
              </w:rPr>
              <w:t>预计效益</w:t>
            </w:r>
          </w:p>
        </w:tc>
        <w:tc>
          <w:tcPr>
            <w:tcW w:w="623" w:type="dxa"/>
            <w:vMerge w:val="restart"/>
            <w:shd w:val="clear" w:color="auto" w:fill="auto"/>
            <w:vAlign w:val="center"/>
          </w:tcPr>
          <w:p w14:paraId="770DF875">
            <w:pPr>
              <w:widowControl/>
              <w:adjustRightInd w:val="0"/>
              <w:snapToGrid w:val="0"/>
              <w:jc w:val="center"/>
              <w:rPr>
                <w:rFonts w:hint="default" w:ascii="Times New Roman" w:hAnsi="Times New Roman" w:eastAsia="黑体" w:cs="Times New Roman"/>
                <w:bCs/>
                <w:snapToGrid w:val="0"/>
                <w:color w:val="auto"/>
                <w:kern w:val="0"/>
                <w:sz w:val="18"/>
                <w:szCs w:val="18"/>
                <w:highlight w:val="none"/>
              </w:rPr>
            </w:pPr>
            <w:r>
              <w:rPr>
                <w:rFonts w:hint="default" w:ascii="Times New Roman" w:hAnsi="Times New Roman" w:eastAsia="黑体" w:cs="Times New Roman"/>
                <w:bCs/>
                <w:snapToGrid w:val="0"/>
                <w:color w:val="auto"/>
                <w:kern w:val="0"/>
                <w:sz w:val="18"/>
                <w:szCs w:val="18"/>
                <w:highlight w:val="none"/>
              </w:rPr>
              <w:t>是否制定建设运营方案</w:t>
            </w:r>
          </w:p>
        </w:tc>
        <w:tc>
          <w:tcPr>
            <w:tcW w:w="1673" w:type="dxa"/>
            <w:vMerge w:val="restart"/>
            <w:shd w:val="clear" w:color="auto" w:fill="auto"/>
            <w:vAlign w:val="center"/>
          </w:tcPr>
          <w:p w14:paraId="78C83892">
            <w:pPr>
              <w:widowControl/>
              <w:adjustRightInd w:val="0"/>
              <w:snapToGrid w:val="0"/>
              <w:jc w:val="center"/>
              <w:rPr>
                <w:rFonts w:hint="default" w:ascii="Times New Roman" w:hAnsi="Times New Roman" w:eastAsia="黑体" w:cs="Times New Roman"/>
                <w:bCs/>
                <w:snapToGrid w:val="0"/>
                <w:color w:val="auto"/>
                <w:kern w:val="0"/>
                <w:sz w:val="18"/>
                <w:szCs w:val="18"/>
                <w:highlight w:val="none"/>
              </w:rPr>
            </w:pPr>
            <w:r>
              <w:rPr>
                <w:rFonts w:hint="default" w:ascii="Times New Roman" w:hAnsi="Times New Roman" w:eastAsia="黑体" w:cs="Times New Roman"/>
                <w:bCs/>
                <w:snapToGrid w:val="0"/>
                <w:color w:val="auto"/>
                <w:kern w:val="0"/>
                <w:sz w:val="18"/>
                <w:szCs w:val="18"/>
                <w:highlight w:val="none"/>
              </w:rPr>
              <w:t>拟提供的</w:t>
            </w:r>
          </w:p>
          <w:p w14:paraId="4DE59C05">
            <w:pPr>
              <w:widowControl/>
              <w:adjustRightInd w:val="0"/>
              <w:snapToGrid w:val="0"/>
              <w:jc w:val="center"/>
              <w:rPr>
                <w:rFonts w:hint="default" w:ascii="Times New Roman" w:hAnsi="Times New Roman" w:eastAsia="黑体" w:cs="Times New Roman"/>
                <w:bCs/>
                <w:snapToGrid w:val="0"/>
                <w:color w:val="auto"/>
                <w:kern w:val="0"/>
                <w:sz w:val="18"/>
                <w:szCs w:val="18"/>
                <w:highlight w:val="none"/>
              </w:rPr>
            </w:pPr>
            <w:r>
              <w:rPr>
                <w:rFonts w:hint="default" w:ascii="Times New Roman" w:hAnsi="Times New Roman" w:eastAsia="黑体" w:cs="Times New Roman"/>
                <w:bCs/>
                <w:snapToGrid w:val="0"/>
                <w:color w:val="auto"/>
                <w:kern w:val="0"/>
                <w:sz w:val="18"/>
                <w:szCs w:val="18"/>
                <w:highlight w:val="none"/>
              </w:rPr>
              <w:t>服务类型</w:t>
            </w:r>
          </w:p>
        </w:tc>
      </w:tr>
      <w:tr w14:paraId="66C11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blHeader/>
          <w:jc w:val="center"/>
        </w:trPr>
        <w:tc>
          <w:tcPr>
            <w:tcW w:w="435" w:type="dxa"/>
            <w:vMerge w:val="continue"/>
            <w:shd w:val="clear" w:color="auto" w:fill="auto"/>
            <w:vAlign w:val="center"/>
          </w:tcPr>
          <w:p w14:paraId="3B170FE2">
            <w:pPr>
              <w:jc w:val="center"/>
              <w:rPr>
                <w:rFonts w:hint="default" w:ascii="Times New Roman" w:hAnsi="Times New Roman" w:eastAsia="宋体" w:cs="Times New Roman"/>
                <w:b/>
                <w:bCs/>
                <w:color w:val="auto"/>
                <w:sz w:val="18"/>
                <w:szCs w:val="18"/>
                <w:highlight w:val="none"/>
              </w:rPr>
            </w:pPr>
          </w:p>
        </w:tc>
        <w:tc>
          <w:tcPr>
            <w:tcW w:w="1691" w:type="dxa"/>
            <w:vMerge w:val="continue"/>
            <w:shd w:val="clear" w:color="auto" w:fill="auto"/>
            <w:vAlign w:val="center"/>
          </w:tcPr>
          <w:p w14:paraId="36ED926D">
            <w:pPr>
              <w:jc w:val="center"/>
              <w:rPr>
                <w:rFonts w:hint="default" w:ascii="Times New Roman" w:hAnsi="Times New Roman" w:eastAsia="宋体" w:cs="Times New Roman"/>
                <w:b/>
                <w:bCs/>
                <w:color w:val="auto"/>
                <w:sz w:val="18"/>
                <w:szCs w:val="18"/>
                <w:highlight w:val="none"/>
              </w:rPr>
            </w:pPr>
          </w:p>
        </w:tc>
        <w:tc>
          <w:tcPr>
            <w:tcW w:w="623" w:type="dxa"/>
            <w:vMerge w:val="continue"/>
            <w:shd w:val="clear" w:color="auto" w:fill="auto"/>
            <w:vAlign w:val="center"/>
          </w:tcPr>
          <w:p w14:paraId="1E79E51D">
            <w:pPr>
              <w:jc w:val="center"/>
              <w:rPr>
                <w:rFonts w:hint="default" w:ascii="Times New Roman" w:hAnsi="Times New Roman" w:eastAsia="宋体" w:cs="Times New Roman"/>
                <w:b/>
                <w:bCs/>
                <w:color w:val="auto"/>
                <w:sz w:val="18"/>
                <w:szCs w:val="18"/>
                <w:highlight w:val="none"/>
              </w:rPr>
            </w:pPr>
          </w:p>
        </w:tc>
        <w:tc>
          <w:tcPr>
            <w:tcW w:w="1126" w:type="dxa"/>
            <w:vMerge w:val="continue"/>
            <w:shd w:val="clear" w:color="auto" w:fill="auto"/>
            <w:vAlign w:val="center"/>
          </w:tcPr>
          <w:p w14:paraId="12A81EF6">
            <w:pPr>
              <w:jc w:val="center"/>
              <w:rPr>
                <w:rFonts w:hint="default" w:ascii="Times New Roman" w:hAnsi="Times New Roman" w:eastAsia="宋体" w:cs="Times New Roman"/>
                <w:b/>
                <w:bCs/>
                <w:color w:val="auto"/>
                <w:sz w:val="18"/>
                <w:szCs w:val="18"/>
                <w:highlight w:val="none"/>
              </w:rPr>
            </w:pPr>
          </w:p>
        </w:tc>
        <w:tc>
          <w:tcPr>
            <w:tcW w:w="707" w:type="dxa"/>
            <w:vMerge w:val="continue"/>
            <w:shd w:val="clear" w:color="auto" w:fill="auto"/>
            <w:vAlign w:val="center"/>
          </w:tcPr>
          <w:p w14:paraId="23AC1C96">
            <w:pPr>
              <w:jc w:val="center"/>
              <w:rPr>
                <w:rFonts w:hint="default" w:ascii="Times New Roman" w:hAnsi="Times New Roman" w:eastAsia="宋体" w:cs="Times New Roman"/>
                <w:b/>
                <w:bCs/>
                <w:color w:val="auto"/>
                <w:sz w:val="18"/>
                <w:szCs w:val="18"/>
                <w:highlight w:val="none"/>
              </w:rPr>
            </w:pPr>
          </w:p>
        </w:tc>
        <w:tc>
          <w:tcPr>
            <w:tcW w:w="624" w:type="dxa"/>
            <w:vMerge w:val="continue"/>
            <w:shd w:val="clear" w:color="auto" w:fill="auto"/>
            <w:vAlign w:val="center"/>
          </w:tcPr>
          <w:p w14:paraId="4E2B8207">
            <w:pPr>
              <w:jc w:val="center"/>
              <w:rPr>
                <w:rFonts w:hint="default" w:ascii="Times New Roman" w:hAnsi="Times New Roman" w:eastAsia="宋体" w:cs="Times New Roman"/>
                <w:b/>
                <w:bCs/>
                <w:color w:val="auto"/>
                <w:sz w:val="18"/>
                <w:szCs w:val="18"/>
                <w:highlight w:val="none"/>
              </w:rPr>
            </w:pPr>
          </w:p>
        </w:tc>
        <w:tc>
          <w:tcPr>
            <w:tcW w:w="624" w:type="dxa"/>
            <w:vMerge w:val="continue"/>
            <w:shd w:val="clear" w:color="auto" w:fill="auto"/>
            <w:vAlign w:val="center"/>
          </w:tcPr>
          <w:p w14:paraId="78176AA4">
            <w:pPr>
              <w:jc w:val="center"/>
              <w:rPr>
                <w:rFonts w:hint="default" w:ascii="Times New Roman" w:hAnsi="Times New Roman" w:eastAsia="宋体" w:cs="Times New Roman"/>
                <w:b/>
                <w:bCs/>
                <w:color w:val="auto"/>
                <w:sz w:val="18"/>
                <w:szCs w:val="18"/>
                <w:highlight w:val="none"/>
              </w:rPr>
            </w:pPr>
          </w:p>
        </w:tc>
        <w:tc>
          <w:tcPr>
            <w:tcW w:w="831" w:type="dxa"/>
            <w:vMerge w:val="continue"/>
            <w:shd w:val="clear" w:color="auto" w:fill="auto"/>
            <w:vAlign w:val="center"/>
          </w:tcPr>
          <w:p w14:paraId="0776B61A">
            <w:pPr>
              <w:jc w:val="center"/>
              <w:rPr>
                <w:rFonts w:hint="default" w:ascii="Times New Roman" w:hAnsi="Times New Roman" w:eastAsia="宋体" w:cs="Times New Roman"/>
                <w:b/>
                <w:bCs/>
                <w:color w:val="auto"/>
                <w:sz w:val="18"/>
                <w:szCs w:val="18"/>
                <w:highlight w:val="none"/>
              </w:rPr>
            </w:pPr>
          </w:p>
        </w:tc>
        <w:tc>
          <w:tcPr>
            <w:tcW w:w="2654" w:type="dxa"/>
            <w:vMerge w:val="continue"/>
            <w:shd w:val="clear" w:color="auto" w:fill="auto"/>
            <w:vAlign w:val="center"/>
          </w:tcPr>
          <w:p w14:paraId="139FB384">
            <w:pPr>
              <w:jc w:val="center"/>
              <w:rPr>
                <w:rFonts w:hint="default" w:ascii="Times New Roman" w:hAnsi="Times New Roman" w:eastAsia="宋体" w:cs="Times New Roman"/>
                <w:b/>
                <w:bCs/>
                <w:color w:val="auto"/>
                <w:sz w:val="18"/>
                <w:szCs w:val="18"/>
                <w:highlight w:val="none"/>
              </w:rPr>
            </w:pPr>
          </w:p>
        </w:tc>
        <w:tc>
          <w:tcPr>
            <w:tcW w:w="562" w:type="dxa"/>
            <w:vMerge w:val="continue"/>
            <w:shd w:val="clear" w:color="auto" w:fill="auto"/>
            <w:vAlign w:val="center"/>
          </w:tcPr>
          <w:p w14:paraId="1E1620A0">
            <w:pPr>
              <w:jc w:val="center"/>
              <w:rPr>
                <w:rFonts w:hint="default" w:ascii="Times New Roman" w:hAnsi="Times New Roman" w:eastAsia="宋体" w:cs="Times New Roman"/>
                <w:b/>
                <w:bCs/>
                <w:color w:val="auto"/>
                <w:sz w:val="18"/>
                <w:szCs w:val="18"/>
                <w:highlight w:val="none"/>
              </w:rPr>
            </w:pPr>
          </w:p>
        </w:tc>
        <w:tc>
          <w:tcPr>
            <w:tcW w:w="684" w:type="dxa"/>
            <w:vMerge w:val="continue"/>
            <w:shd w:val="clear" w:color="auto" w:fill="auto"/>
            <w:vAlign w:val="center"/>
          </w:tcPr>
          <w:p w14:paraId="5FF3DBDF">
            <w:pPr>
              <w:jc w:val="center"/>
              <w:rPr>
                <w:rFonts w:hint="default" w:ascii="Times New Roman" w:hAnsi="Times New Roman" w:eastAsia="宋体" w:cs="Times New Roman"/>
                <w:b/>
                <w:bCs/>
                <w:color w:val="auto"/>
                <w:sz w:val="18"/>
                <w:szCs w:val="18"/>
                <w:highlight w:val="none"/>
              </w:rPr>
            </w:pPr>
          </w:p>
        </w:tc>
        <w:tc>
          <w:tcPr>
            <w:tcW w:w="966" w:type="dxa"/>
            <w:shd w:val="clear" w:color="auto" w:fill="auto"/>
            <w:vAlign w:val="center"/>
          </w:tcPr>
          <w:p w14:paraId="71484B35">
            <w:pPr>
              <w:widowControl/>
              <w:adjustRightInd w:val="0"/>
              <w:snapToGrid w:val="0"/>
              <w:jc w:val="center"/>
              <w:rPr>
                <w:rFonts w:hint="default" w:ascii="Times New Roman" w:hAnsi="Times New Roman" w:eastAsia="黑体" w:cs="Times New Roman"/>
                <w:bCs/>
                <w:snapToGrid w:val="0"/>
                <w:color w:val="auto"/>
                <w:kern w:val="0"/>
                <w:sz w:val="18"/>
                <w:szCs w:val="18"/>
                <w:highlight w:val="none"/>
              </w:rPr>
            </w:pPr>
            <w:r>
              <w:rPr>
                <w:rFonts w:hint="default" w:ascii="Times New Roman" w:hAnsi="Times New Roman" w:eastAsia="黑体" w:cs="Times New Roman"/>
                <w:bCs/>
                <w:snapToGrid w:val="0"/>
                <w:color w:val="auto"/>
                <w:kern w:val="0"/>
                <w:sz w:val="18"/>
                <w:szCs w:val="18"/>
                <w:highlight w:val="none"/>
              </w:rPr>
              <w:t>新增社区综合服务</w:t>
            </w:r>
            <w:r>
              <w:rPr>
                <w:rFonts w:hint="default" w:ascii="Times New Roman" w:hAnsi="Times New Roman" w:eastAsia="黑体" w:cs="Times New Roman"/>
                <w:bCs/>
                <w:snapToGrid w:val="0"/>
                <w:color w:val="auto"/>
                <w:kern w:val="0"/>
                <w:sz w:val="18"/>
                <w:szCs w:val="18"/>
                <w:highlight w:val="none"/>
              </w:rPr>
              <w:br w:type="textWrapping"/>
            </w:r>
            <w:r>
              <w:rPr>
                <w:rFonts w:hint="default" w:ascii="Times New Roman" w:hAnsi="Times New Roman" w:eastAsia="黑体" w:cs="Times New Roman"/>
                <w:bCs/>
                <w:snapToGrid w:val="0"/>
                <w:color w:val="auto"/>
                <w:kern w:val="0"/>
                <w:sz w:val="18"/>
                <w:szCs w:val="18"/>
                <w:highlight w:val="none"/>
              </w:rPr>
              <w:t>设施面积（m2）</w:t>
            </w:r>
          </w:p>
        </w:tc>
        <w:tc>
          <w:tcPr>
            <w:tcW w:w="684" w:type="dxa"/>
            <w:shd w:val="clear" w:color="auto" w:fill="auto"/>
            <w:vAlign w:val="center"/>
          </w:tcPr>
          <w:p w14:paraId="5CA9524F">
            <w:pPr>
              <w:widowControl/>
              <w:adjustRightInd w:val="0"/>
              <w:snapToGrid w:val="0"/>
              <w:jc w:val="center"/>
              <w:rPr>
                <w:rFonts w:hint="default" w:ascii="Times New Roman" w:hAnsi="Times New Roman" w:eastAsia="黑体" w:cs="Times New Roman"/>
                <w:bCs/>
                <w:snapToGrid w:val="0"/>
                <w:color w:val="auto"/>
                <w:kern w:val="0"/>
                <w:sz w:val="18"/>
                <w:szCs w:val="18"/>
                <w:highlight w:val="none"/>
              </w:rPr>
            </w:pPr>
            <w:r>
              <w:rPr>
                <w:rFonts w:hint="default" w:ascii="Times New Roman" w:hAnsi="Times New Roman" w:eastAsia="黑体" w:cs="Times New Roman"/>
                <w:bCs/>
                <w:snapToGrid w:val="0"/>
                <w:color w:val="auto"/>
                <w:kern w:val="0"/>
                <w:sz w:val="18"/>
                <w:szCs w:val="18"/>
                <w:highlight w:val="none"/>
              </w:rPr>
              <w:t>新增</w:t>
            </w:r>
            <w:r>
              <w:rPr>
                <w:rFonts w:hint="default" w:ascii="Times New Roman" w:hAnsi="Times New Roman" w:eastAsia="黑体" w:cs="Times New Roman"/>
                <w:bCs/>
                <w:snapToGrid w:val="0"/>
                <w:color w:val="auto"/>
                <w:kern w:val="0"/>
                <w:sz w:val="18"/>
                <w:szCs w:val="18"/>
                <w:highlight w:val="none"/>
              </w:rPr>
              <w:br w:type="textWrapping"/>
            </w:r>
            <w:r>
              <w:rPr>
                <w:rFonts w:hint="default" w:ascii="Times New Roman" w:hAnsi="Times New Roman" w:eastAsia="黑体" w:cs="Times New Roman"/>
                <w:bCs/>
                <w:snapToGrid w:val="0"/>
                <w:color w:val="auto"/>
                <w:kern w:val="0"/>
                <w:sz w:val="18"/>
                <w:szCs w:val="18"/>
                <w:highlight w:val="none"/>
              </w:rPr>
              <w:t>养老</w:t>
            </w:r>
            <w:r>
              <w:rPr>
                <w:rFonts w:hint="default" w:ascii="Times New Roman" w:hAnsi="Times New Roman" w:eastAsia="黑体" w:cs="Times New Roman"/>
                <w:bCs/>
                <w:snapToGrid w:val="0"/>
                <w:color w:val="auto"/>
                <w:kern w:val="0"/>
                <w:sz w:val="18"/>
                <w:szCs w:val="18"/>
                <w:highlight w:val="none"/>
              </w:rPr>
              <w:br w:type="textWrapping"/>
            </w:r>
            <w:r>
              <w:rPr>
                <w:rFonts w:hint="default" w:ascii="Times New Roman" w:hAnsi="Times New Roman" w:eastAsia="黑体" w:cs="Times New Roman"/>
                <w:bCs/>
                <w:snapToGrid w:val="0"/>
                <w:color w:val="auto"/>
                <w:kern w:val="0"/>
                <w:sz w:val="18"/>
                <w:szCs w:val="18"/>
                <w:highlight w:val="none"/>
              </w:rPr>
              <w:t>床位（张）</w:t>
            </w:r>
          </w:p>
        </w:tc>
        <w:tc>
          <w:tcPr>
            <w:tcW w:w="692" w:type="dxa"/>
            <w:shd w:val="clear" w:color="auto" w:fill="auto"/>
            <w:vAlign w:val="center"/>
          </w:tcPr>
          <w:p w14:paraId="69CEFE3C">
            <w:pPr>
              <w:widowControl/>
              <w:adjustRightInd w:val="0"/>
              <w:snapToGrid w:val="0"/>
              <w:jc w:val="center"/>
              <w:rPr>
                <w:rFonts w:hint="default" w:ascii="Times New Roman" w:hAnsi="Times New Roman" w:eastAsia="黑体" w:cs="Times New Roman"/>
                <w:bCs/>
                <w:snapToGrid w:val="0"/>
                <w:color w:val="auto"/>
                <w:kern w:val="0"/>
                <w:sz w:val="18"/>
                <w:szCs w:val="18"/>
                <w:highlight w:val="none"/>
              </w:rPr>
            </w:pPr>
            <w:r>
              <w:rPr>
                <w:rFonts w:hint="default" w:ascii="Times New Roman" w:hAnsi="Times New Roman" w:eastAsia="黑体" w:cs="Times New Roman"/>
                <w:bCs/>
                <w:snapToGrid w:val="0"/>
                <w:color w:val="auto"/>
                <w:kern w:val="0"/>
                <w:sz w:val="18"/>
                <w:szCs w:val="18"/>
                <w:highlight w:val="none"/>
              </w:rPr>
              <w:t>新增</w:t>
            </w:r>
            <w:r>
              <w:rPr>
                <w:rFonts w:hint="default" w:ascii="Times New Roman" w:hAnsi="Times New Roman" w:eastAsia="黑体" w:cs="Times New Roman"/>
                <w:bCs/>
                <w:snapToGrid w:val="0"/>
                <w:color w:val="auto"/>
                <w:kern w:val="0"/>
                <w:sz w:val="18"/>
                <w:szCs w:val="18"/>
                <w:highlight w:val="none"/>
              </w:rPr>
              <w:br w:type="textWrapping"/>
            </w:r>
            <w:r>
              <w:rPr>
                <w:rFonts w:hint="default" w:ascii="Times New Roman" w:hAnsi="Times New Roman" w:eastAsia="黑体" w:cs="Times New Roman"/>
                <w:bCs/>
                <w:snapToGrid w:val="0"/>
                <w:color w:val="auto"/>
                <w:kern w:val="0"/>
                <w:sz w:val="18"/>
                <w:szCs w:val="18"/>
                <w:highlight w:val="none"/>
              </w:rPr>
              <w:t>托位（个）</w:t>
            </w:r>
          </w:p>
        </w:tc>
        <w:tc>
          <w:tcPr>
            <w:tcW w:w="623" w:type="dxa"/>
            <w:vMerge w:val="continue"/>
            <w:shd w:val="clear" w:color="auto" w:fill="auto"/>
            <w:vAlign w:val="center"/>
          </w:tcPr>
          <w:p w14:paraId="366E8468">
            <w:pPr>
              <w:jc w:val="center"/>
              <w:rPr>
                <w:rFonts w:hint="default" w:ascii="Times New Roman" w:hAnsi="Times New Roman" w:eastAsia="宋体" w:cs="Times New Roman"/>
                <w:b/>
                <w:bCs/>
                <w:color w:val="auto"/>
                <w:sz w:val="18"/>
                <w:szCs w:val="18"/>
                <w:highlight w:val="none"/>
              </w:rPr>
            </w:pPr>
          </w:p>
        </w:tc>
        <w:tc>
          <w:tcPr>
            <w:tcW w:w="1673" w:type="dxa"/>
            <w:vMerge w:val="continue"/>
            <w:shd w:val="clear" w:color="auto" w:fill="auto"/>
            <w:vAlign w:val="center"/>
          </w:tcPr>
          <w:p w14:paraId="2DD1FD58">
            <w:pPr>
              <w:jc w:val="center"/>
              <w:rPr>
                <w:rFonts w:hint="default" w:ascii="Times New Roman" w:hAnsi="Times New Roman" w:eastAsia="宋体" w:cs="Times New Roman"/>
                <w:b/>
                <w:bCs/>
                <w:color w:val="auto"/>
                <w:sz w:val="18"/>
                <w:szCs w:val="18"/>
                <w:highlight w:val="none"/>
              </w:rPr>
            </w:pPr>
          </w:p>
        </w:tc>
      </w:tr>
      <w:tr w14:paraId="2362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435" w:type="dxa"/>
            <w:shd w:val="clear" w:color="auto" w:fill="auto"/>
            <w:vAlign w:val="center"/>
          </w:tcPr>
          <w:p w14:paraId="0914B1D6">
            <w:pPr>
              <w:widowControl/>
              <w:spacing w:line="240" w:lineRule="exact"/>
              <w:jc w:val="center"/>
              <w:textAlignment w:val="center"/>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color w:val="auto"/>
                <w:kern w:val="0"/>
                <w:sz w:val="18"/>
                <w:szCs w:val="18"/>
                <w:highlight w:val="none"/>
              </w:rPr>
              <w:t>1</w:t>
            </w:r>
          </w:p>
        </w:tc>
        <w:tc>
          <w:tcPr>
            <w:tcW w:w="1691" w:type="dxa"/>
            <w:shd w:val="clear" w:color="auto" w:fill="auto"/>
            <w:vAlign w:val="center"/>
          </w:tcPr>
          <w:p w14:paraId="3FD29054">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开发区广志社区嵌入式服务综合体</w:t>
            </w:r>
          </w:p>
          <w:p w14:paraId="23B1DDA6">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（社区服务中心）</w:t>
            </w:r>
          </w:p>
        </w:tc>
        <w:tc>
          <w:tcPr>
            <w:tcW w:w="623" w:type="dxa"/>
            <w:shd w:val="clear" w:color="auto" w:fill="auto"/>
            <w:vAlign w:val="center"/>
          </w:tcPr>
          <w:p w14:paraId="58E81646">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改</w:t>
            </w:r>
          </w:p>
          <w:p w14:paraId="174F8CF4">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扩建</w:t>
            </w:r>
          </w:p>
        </w:tc>
        <w:tc>
          <w:tcPr>
            <w:tcW w:w="1126" w:type="dxa"/>
            <w:shd w:val="clear" w:color="auto" w:fill="auto"/>
            <w:vAlign w:val="center"/>
          </w:tcPr>
          <w:p w14:paraId="439E0624">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开发区社会事业管理局</w:t>
            </w:r>
          </w:p>
        </w:tc>
        <w:tc>
          <w:tcPr>
            <w:tcW w:w="707" w:type="dxa"/>
            <w:shd w:val="clear" w:color="auto" w:fill="auto"/>
            <w:vAlign w:val="center"/>
          </w:tcPr>
          <w:p w14:paraId="35E7A330">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6198</w:t>
            </w:r>
          </w:p>
        </w:tc>
        <w:tc>
          <w:tcPr>
            <w:tcW w:w="624" w:type="dxa"/>
            <w:shd w:val="clear" w:color="auto" w:fill="auto"/>
            <w:vAlign w:val="center"/>
          </w:tcPr>
          <w:p w14:paraId="20AC7683">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2024</w:t>
            </w:r>
          </w:p>
        </w:tc>
        <w:tc>
          <w:tcPr>
            <w:tcW w:w="624" w:type="dxa"/>
            <w:shd w:val="clear" w:color="auto" w:fill="auto"/>
            <w:vAlign w:val="center"/>
          </w:tcPr>
          <w:p w14:paraId="7F6423E8">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2025</w:t>
            </w:r>
          </w:p>
        </w:tc>
        <w:tc>
          <w:tcPr>
            <w:tcW w:w="831" w:type="dxa"/>
            <w:shd w:val="clear" w:color="auto" w:fill="auto"/>
            <w:vAlign w:val="center"/>
          </w:tcPr>
          <w:p w14:paraId="080CB369">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1770</w:t>
            </w:r>
          </w:p>
        </w:tc>
        <w:tc>
          <w:tcPr>
            <w:tcW w:w="2654" w:type="dxa"/>
            <w:shd w:val="clear" w:color="auto" w:fill="auto"/>
            <w:vAlign w:val="center"/>
          </w:tcPr>
          <w:p w14:paraId="61D1A456">
            <w:pPr>
              <w:widowControl/>
              <w:spacing w:line="240" w:lineRule="exac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建设集养老、助餐、家政便民、健康诊疗、文化休闲、文体健身、儿童游憩等功能于一体的社区综合服务中心。</w:t>
            </w:r>
          </w:p>
        </w:tc>
        <w:tc>
          <w:tcPr>
            <w:tcW w:w="562" w:type="dxa"/>
            <w:shd w:val="clear" w:color="auto" w:fill="auto"/>
            <w:vAlign w:val="center"/>
          </w:tcPr>
          <w:p w14:paraId="574C4E63">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1</w:t>
            </w:r>
          </w:p>
        </w:tc>
        <w:tc>
          <w:tcPr>
            <w:tcW w:w="684" w:type="dxa"/>
            <w:shd w:val="clear" w:color="auto" w:fill="auto"/>
            <w:vAlign w:val="center"/>
          </w:tcPr>
          <w:p w14:paraId="6596348A">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11520</w:t>
            </w:r>
          </w:p>
        </w:tc>
        <w:tc>
          <w:tcPr>
            <w:tcW w:w="966" w:type="dxa"/>
            <w:shd w:val="clear" w:color="auto" w:fill="auto"/>
            <w:vAlign w:val="center"/>
          </w:tcPr>
          <w:p w14:paraId="6A3217A7">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6198</w:t>
            </w:r>
          </w:p>
        </w:tc>
        <w:tc>
          <w:tcPr>
            <w:tcW w:w="684" w:type="dxa"/>
            <w:shd w:val="clear" w:color="auto" w:fill="auto"/>
            <w:vAlign w:val="center"/>
          </w:tcPr>
          <w:p w14:paraId="30BE186A">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0</w:t>
            </w:r>
          </w:p>
        </w:tc>
        <w:tc>
          <w:tcPr>
            <w:tcW w:w="692" w:type="dxa"/>
            <w:shd w:val="clear" w:color="auto" w:fill="auto"/>
            <w:vAlign w:val="center"/>
          </w:tcPr>
          <w:p w14:paraId="79384F7A">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0</w:t>
            </w:r>
          </w:p>
        </w:tc>
        <w:tc>
          <w:tcPr>
            <w:tcW w:w="623" w:type="dxa"/>
            <w:shd w:val="clear" w:color="auto" w:fill="auto"/>
            <w:vAlign w:val="center"/>
          </w:tcPr>
          <w:p w14:paraId="67F648E8">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否</w:t>
            </w:r>
          </w:p>
        </w:tc>
        <w:tc>
          <w:tcPr>
            <w:tcW w:w="1673" w:type="dxa"/>
            <w:shd w:val="clear" w:color="auto" w:fill="auto"/>
            <w:vAlign w:val="center"/>
          </w:tcPr>
          <w:p w14:paraId="4B47B32A">
            <w:pPr>
              <w:widowControl/>
              <w:spacing w:line="240" w:lineRule="exac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养老、助餐、家政便民、健康服务、体育健身、文化休闲、儿童游憩等</w:t>
            </w:r>
          </w:p>
        </w:tc>
      </w:tr>
      <w:tr w14:paraId="24F03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435" w:type="dxa"/>
            <w:shd w:val="clear" w:color="auto" w:fill="auto"/>
            <w:vAlign w:val="center"/>
          </w:tcPr>
          <w:p w14:paraId="37A0B56B">
            <w:pPr>
              <w:widowControl/>
              <w:spacing w:line="240" w:lineRule="exact"/>
              <w:jc w:val="center"/>
              <w:textAlignment w:val="center"/>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color w:val="auto"/>
                <w:kern w:val="0"/>
                <w:sz w:val="18"/>
                <w:szCs w:val="18"/>
                <w:highlight w:val="none"/>
              </w:rPr>
              <w:t>2</w:t>
            </w:r>
          </w:p>
        </w:tc>
        <w:tc>
          <w:tcPr>
            <w:tcW w:w="1691" w:type="dxa"/>
            <w:shd w:val="clear" w:color="auto" w:fill="auto"/>
            <w:vAlign w:val="center"/>
          </w:tcPr>
          <w:p w14:paraId="47D89D6A">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开发区鹿鸣锦苑民生服务综合体</w:t>
            </w:r>
          </w:p>
        </w:tc>
        <w:tc>
          <w:tcPr>
            <w:tcW w:w="623" w:type="dxa"/>
            <w:shd w:val="clear" w:color="auto" w:fill="auto"/>
            <w:vAlign w:val="center"/>
          </w:tcPr>
          <w:p w14:paraId="35CB8BEB">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新建</w:t>
            </w:r>
          </w:p>
        </w:tc>
        <w:tc>
          <w:tcPr>
            <w:tcW w:w="1126" w:type="dxa"/>
            <w:shd w:val="clear" w:color="auto" w:fill="auto"/>
            <w:vAlign w:val="center"/>
          </w:tcPr>
          <w:p w14:paraId="549206D3">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开发区社会事业管理局</w:t>
            </w:r>
          </w:p>
        </w:tc>
        <w:tc>
          <w:tcPr>
            <w:tcW w:w="707" w:type="dxa"/>
            <w:shd w:val="clear" w:color="auto" w:fill="auto"/>
            <w:vAlign w:val="center"/>
          </w:tcPr>
          <w:p w14:paraId="33B49CCF">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5040</w:t>
            </w:r>
          </w:p>
        </w:tc>
        <w:tc>
          <w:tcPr>
            <w:tcW w:w="624" w:type="dxa"/>
            <w:shd w:val="clear" w:color="auto" w:fill="auto"/>
            <w:vAlign w:val="center"/>
          </w:tcPr>
          <w:p w14:paraId="52D997C5">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2025</w:t>
            </w:r>
          </w:p>
        </w:tc>
        <w:tc>
          <w:tcPr>
            <w:tcW w:w="624" w:type="dxa"/>
            <w:shd w:val="clear" w:color="auto" w:fill="auto"/>
            <w:vAlign w:val="center"/>
          </w:tcPr>
          <w:p w14:paraId="55FA7D50">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2027</w:t>
            </w:r>
          </w:p>
        </w:tc>
        <w:tc>
          <w:tcPr>
            <w:tcW w:w="831" w:type="dxa"/>
            <w:shd w:val="clear" w:color="auto" w:fill="auto"/>
            <w:vAlign w:val="center"/>
          </w:tcPr>
          <w:p w14:paraId="06CBFA68">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2500</w:t>
            </w:r>
          </w:p>
        </w:tc>
        <w:tc>
          <w:tcPr>
            <w:tcW w:w="2654" w:type="dxa"/>
            <w:shd w:val="clear" w:color="auto" w:fill="auto"/>
            <w:vAlign w:val="center"/>
          </w:tcPr>
          <w:p w14:paraId="0251BBBC">
            <w:pPr>
              <w:widowControl/>
              <w:spacing w:line="240" w:lineRule="exac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建成集残疾人之家、震川老年大学分校等为一体的民生服务综合体。</w:t>
            </w:r>
          </w:p>
        </w:tc>
        <w:tc>
          <w:tcPr>
            <w:tcW w:w="562" w:type="dxa"/>
            <w:shd w:val="clear" w:color="auto" w:fill="auto"/>
            <w:vAlign w:val="center"/>
          </w:tcPr>
          <w:p w14:paraId="03816195">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3</w:t>
            </w:r>
          </w:p>
        </w:tc>
        <w:tc>
          <w:tcPr>
            <w:tcW w:w="684" w:type="dxa"/>
            <w:shd w:val="clear" w:color="auto" w:fill="auto"/>
            <w:vAlign w:val="center"/>
          </w:tcPr>
          <w:p w14:paraId="4E3EE5BA">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11000</w:t>
            </w:r>
          </w:p>
        </w:tc>
        <w:tc>
          <w:tcPr>
            <w:tcW w:w="966" w:type="dxa"/>
            <w:shd w:val="clear" w:color="auto" w:fill="auto"/>
            <w:vAlign w:val="center"/>
          </w:tcPr>
          <w:p w14:paraId="2CCD6E9E">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2719</w:t>
            </w:r>
          </w:p>
        </w:tc>
        <w:tc>
          <w:tcPr>
            <w:tcW w:w="684" w:type="dxa"/>
            <w:shd w:val="clear" w:color="auto" w:fill="auto"/>
            <w:vAlign w:val="center"/>
          </w:tcPr>
          <w:p w14:paraId="794219B5">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0</w:t>
            </w:r>
          </w:p>
        </w:tc>
        <w:tc>
          <w:tcPr>
            <w:tcW w:w="692" w:type="dxa"/>
            <w:shd w:val="clear" w:color="auto" w:fill="auto"/>
            <w:vAlign w:val="center"/>
          </w:tcPr>
          <w:p w14:paraId="3532B57D">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0</w:t>
            </w:r>
          </w:p>
        </w:tc>
        <w:tc>
          <w:tcPr>
            <w:tcW w:w="623" w:type="dxa"/>
            <w:shd w:val="clear" w:color="auto" w:fill="auto"/>
            <w:vAlign w:val="center"/>
          </w:tcPr>
          <w:p w14:paraId="57E069C1">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否</w:t>
            </w:r>
          </w:p>
        </w:tc>
        <w:tc>
          <w:tcPr>
            <w:tcW w:w="1673" w:type="dxa"/>
            <w:shd w:val="clear" w:color="auto" w:fill="auto"/>
            <w:vAlign w:val="center"/>
          </w:tcPr>
          <w:p w14:paraId="3F614B60">
            <w:pPr>
              <w:widowControl/>
              <w:spacing w:line="240" w:lineRule="exac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养老、助餐、体育健身、文化休闲、儿童游憩</w:t>
            </w:r>
          </w:p>
        </w:tc>
      </w:tr>
      <w:tr w14:paraId="655AE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435" w:type="dxa"/>
            <w:shd w:val="clear" w:color="auto" w:fill="auto"/>
            <w:vAlign w:val="center"/>
          </w:tcPr>
          <w:p w14:paraId="777280F3">
            <w:pPr>
              <w:widowControl/>
              <w:spacing w:line="240" w:lineRule="exact"/>
              <w:jc w:val="center"/>
              <w:textAlignment w:val="center"/>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color w:val="auto"/>
                <w:sz w:val="18"/>
                <w:szCs w:val="18"/>
                <w:highlight w:val="none"/>
              </w:rPr>
              <w:t>3</w:t>
            </w:r>
          </w:p>
        </w:tc>
        <w:tc>
          <w:tcPr>
            <w:tcW w:w="1691" w:type="dxa"/>
            <w:shd w:val="clear" w:color="auto" w:fill="auto"/>
            <w:vAlign w:val="center"/>
          </w:tcPr>
          <w:p w14:paraId="5A9067DE">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开发区</w:t>
            </w:r>
          </w:p>
          <w:p w14:paraId="4B11F65B">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公元壹号驿站</w:t>
            </w:r>
          </w:p>
        </w:tc>
        <w:tc>
          <w:tcPr>
            <w:tcW w:w="623" w:type="dxa"/>
            <w:shd w:val="clear" w:color="auto" w:fill="auto"/>
            <w:vAlign w:val="center"/>
          </w:tcPr>
          <w:p w14:paraId="41F8C000">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新建</w:t>
            </w:r>
          </w:p>
        </w:tc>
        <w:tc>
          <w:tcPr>
            <w:tcW w:w="1126" w:type="dxa"/>
            <w:shd w:val="clear" w:color="auto" w:fill="auto"/>
            <w:vAlign w:val="center"/>
          </w:tcPr>
          <w:p w14:paraId="1B2F5A6C">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开发区震川城市管理办事处</w:t>
            </w:r>
          </w:p>
        </w:tc>
        <w:tc>
          <w:tcPr>
            <w:tcW w:w="707" w:type="dxa"/>
            <w:shd w:val="clear" w:color="auto" w:fill="auto"/>
            <w:vAlign w:val="center"/>
          </w:tcPr>
          <w:p w14:paraId="111D86B7">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1483.8</w:t>
            </w:r>
          </w:p>
        </w:tc>
        <w:tc>
          <w:tcPr>
            <w:tcW w:w="624" w:type="dxa"/>
            <w:shd w:val="clear" w:color="auto" w:fill="auto"/>
            <w:vAlign w:val="center"/>
          </w:tcPr>
          <w:p w14:paraId="172D4C9D">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2025</w:t>
            </w:r>
          </w:p>
        </w:tc>
        <w:tc>
          <w:tcPr>
            <w:tcW w:w="624" w:type="dxa"/>
            <w:shd w:val="clear" w:color="auto" w:fill="auto"/>
            <w:vAlign w:val="center"/>
          </w:tcPr>
          <w:p w14:paraId="78A647FA">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2026</w:t>
            </w:r>
          </w:p>
        </w:tc>
        <w:tc>
          <w:tcPr>
            <w:tcW w:w="831" w:type="dxa"/>
            <w:shd w:val="clear" w:color="auto" w:fill="auto"/>
            <w:vAlign w:val="center"/>
          </w:tcPr>
          <w:p w14:paraId="2B3D37E2">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745</w:t>
            </w:r>
          </w:p>
        </w:tc>
        <w:tc>
          <w:tcPr>
            <w:tcW w:w="2654" w:type="dxa"/>
            <w:shd w:val="clear" w:color="auto" w:fill="auto"/>
            <w:vAlign w:val="center"/>
          </w:tcPr>
          <w:p w14:paraId="35D143BE">
            <w:pPr>
              <w:widowControl/>
              <w:spacing w:line="240" w:lineRule="exac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拟建设集老年助餐、老年大学为一体的社区嵌入式服务综合体。</w:t>
            </w:r>
          </w:p>
        </w:tc>
        <w:tc>
          <w:tcPr>
            <w:tcW w:w="562" w:type="dxa"/>
            <w:shd w:val="clear" w:color="auto" w:fill="auto"/>
            <w:vAlign w:val="center"/>
          </w:tcPr>
          <w:p w14:paraId="55E6B619">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3</w:t>
            </w:r>
          </w:p>
        </w:tc>
        <w:tc>
          <w:tcPr>
            <w:tcW w:w="684" w:type="dxa"/>
            <w:shd w:val="clear" w:color="auto" w:fill="auto"/>
            <w:vAlign w:val="center"/>
          </w:tcPr>
          <w:p w14:paraId="5B29B1DF">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32202</w:t>
            </w:r>
          </w:p>
        </w:tc>
        <w:tc>
          <w:tcPr>
            <w:tcW w:w="966" w:type="dxa"/>
            <w:shd w:val="clear" w:color="auto" w:fill="auto"/>
            <w:vAlign w:val="center"/>
          </w:tcPr>
          <w:p w14:paraId="56B2C031">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1483.8</w:t>
            </w:r>
          </w:p>
        </w:tc>
        <w:tc>
          <w:tcPr>
            <w:tcW w:w="684" w:type="dxa"/>
            <w:shd w:val="clear" w:color="auto" w:fill="auto"/>
            <w:vAlign w:val="center"/>
          </w:tcPr>
          <w:p w14:paraId="2EF2B400">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0</w:t>
            </w:r>
          </w:p>
        </w:tc>
        <w:tc>
          <w:tcPr>
            <w:tcW w:w="692" w:type="dxa"/>
            <w:shd w:val="clear" w:color="auto" w:fill="auto"/>
            <w:vAlign w:val="center"/>
          </w:tcPr>
          <w:p w14:paraId="6EDE2F15">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0</w:t>
            </w:r>
          </w:p>
        </w:tc>
        <w:tc>
          <w:tcPr>
            <w:tcW w:w="623" w:type="dxa"/>
            <w:shd w:val="clear" w:color="auto" w:fill="auto"/>
            <w:vAlign w:val="center"/>
          </w:tcPr>
          <w:p w14:paraId="56CE6F08">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否</w:t>
            </w:r>
          </w:p>
        </w:tc>
        <w:tc>
          <w:tcPr>
            <w:tcW w:w="1673" w:type="dxa"/>
            <w:shd w:val="clear" w:color="auto" w:fill="auto"/>
            <w:vAlign w:val="center"/>
          </w:tcPr>
          <w:p w14:paraId="3731F2B1">
            <w:pPr>
              <w:widowControl/>
              <w:spacing w:line="240" w:lineRule="exact"/>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rPr>
              <w:t>养老、助餐、健康</w:t>
            </w:r>
            <w:r>
              <w:rPr>
                <w:rFonts w:hint="default" w:ascii="Times New Roman" w:hAnsi="Times New Roman" w:eastAsia="宋体" w:cs="Times New Roman"/>
                <w:color w:val="auto"/>
                <w:kern w:val="0"/>
                <w:sz w:val="18"/>
                <w:szCs w:val="18"/>
                <w:highlight w:val="none"/>
                <w:lang w:val="en-US" w:eastAsia="zh-CN"/>
              </w:rPr>
              <w:t>诊疗</w:t>
            </w:r>
            <w:r>
              <w:rPr>
                <w:rFonts w:hint="default" w:ascii="Times New Roman" w:hAnsi="Times New Roman" w:eastAsia="宋体" w:cs="Times New Roman"/>
                <w:color w:val="auto"/>
                <w:kern w:val="0"/>
                <w:sz w:val="18"/>
                <w:szCs w:val="18"/>
                <w:highlight w:val="none"/>
              </w:rPr>
              <w:t>、体育健身、文化休闲、老年大学</w:t>
            </w:r>
            <w:r>
              <w:rPr>
                <w:rFonts w:hint="default" w:ascii="Times New Roman" w:hAnsi="Times New Roman" w:eastAsia="宋体" w:cs="Times New Roman"/>
                <w:color w:val="auto"/>
                <w:kern w:val="0"/>
                <w:sz w:val="18"/>
                <w:szCs w:val="18"/>
                <w:highlight w:val="none"/>
                <w:lang w:eastAsia="zh-CN"/>
              </w:rPr>
              <w:t>、</w:t>
            </w:r>
            <w:r>
              <w:rPr>
                <w:rFonts w:hint="default" w:ascii="Times New Roman" w:hAnsi="Times New Roman" w:eastAsia="宋体" w:cs="Times New Roman"/>
                <w:color w:val="auto"/>
                <w:kern w:val="0"/>
                <w:sz w:val="18"/>
                <w:szCs w:val="18"/>
                <w:highlight w:val="none"/>
                <w:lang w:val="en-US" w:eastAsia="zh-CN"/>
              </w:rPr>
              <w:t>其他</w:t>
            </w:r>
          </w:p>
        </w:tc>
      </w:tr>
      <w:tr w14:paraId="6D7D0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435" w:type="dxa"/>
            <w:shd w:val="clear" w:color="auto" w:fill="auto"/>
            <w:vAlign w:val="center"/>
          </w:tcPr>
          <w:p w14:paraId="6C097AA2">
            <w:pPr>
              <w:widowControl/>
              <w:spacing w:line="240" w:lineRule="exact"/>
              <w:jc w:val="center"/>
              <w:textAlignment w:val="center"/>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color w:val="auto"/>
                <w:kern w:val="0"/>
                <w:sz w:val="18"/>
                <w:szCs w:val="18"/>
                <w:highlight w:val="none"/>
              </w:rPr>
              <w:t>4</w:t>
            </w:r>
          </w:p>
        </w:tc>
        <w:tc>
          <w:tcPr>
            <w:tcW w:w="1691" w:type="dxa"/>
            <w:shd w:val="clear" w:color="auto" w:fill="auto"/>
            <w:vAlign w:val="center"/>
          </w:tcPr>
          <w:p w14:paraId="1FF1B2BB">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开发区茜步泾社区嵌入式养老</w:t>
            </w:r>
          </w:p>
        </w:tc>
        <w:tc>
          <w:tcPr>
            <w:tcW w:w="623" w:type="dxa"/>
            <w:shd w:val="clear" w:color="auto" w:fill="auto"/>
            <w:vAlign w:val="center"/>
          </w:tcPr>
          <w:p w14:paraId="0FE6E6B2">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新建</w:t>
            </w:r>
          </w:p>
        </w:tc>
        <w:tc>
          <w:tcPr>
            <w:tcW w:w="1126" w:type="dxa"/>
            <w:shd w:val="clear" w:color="auto" w:fill="auto"/>
            <w:vAlign w:val="center"/>
          </w:tcPr>
          <w:p w14:paraId="1D6D9E9C">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开发区震川城市管理办事处</w:t>
            </w:r>
          </w:p>
        </w:tc>
        <w:tc>
          <w:tcPr>
            <w:tcW w:w="707" w:type="dxa"/>
            <w:shd w:val="clear" w:color="auto" w:fill="auto"/>
            <w:vAlign w:val="center"/>
          </w:tcPr>
          <w:p w14:paraId="216EE57F">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1600</w:t>
            </w:r>
          </w:p>
        </w:tc>
        <w:tc>
          <w:tcPr>
            <w:tcW w:w="624" w:type="dxa"/>
            <w:shd w:val="clear" w:color="auto" w:fill="auto"/>
            <w:vAlign w:val="center"/>
          </w:tcPr>
          <w:p w14:paraId="0DF12EC3">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2024</w:t>
            </w:r>
          </w:p>
        </w:tc>
        <w:tc>
          <w:tcPr>
            <w:tcW w:w="624" w:type="dxa"/>
            <w:shd w:val="clear" w:color="auto" w:fill="auto"/>
            <w:vAlign w:val="center"/>
          </w:tcPr>
          <w:p w14:paraId="088CC9F7">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2025</w:t>
            </w:r>
          </w:p>
        </w:tc>
        <w:tc>
          <w:tcPr>
            <w:tcW w:w="831" w:type="dxa"/>
            <w:shd w:val="clear" w:color="auto" w:fill="auto"/>
            <w:vAlign w:val="center"/>
          </w:tcPr>
          <w:p w14:paraId="399CE812">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380</w:t>
            </w:r>
          </w:p>
        </w:tc>
        <w:tc>
          <w:tcPr>
            <w:tcW w:w="2654" w:type="dxa"/>
            <w:shd w:val="clear" w:color="auto" w:fill="auto"/>
            <w:vAlign w:val="center"/>
          </w:tcPr>
          <w:p w14:paraId="778039C6">
            <w:pPr>
              <w:widowControl/>
              <w:spacing w:line="240" w:lineRule="exac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拟建设集老年助餐、残疾人康复为一体的社区嵌入式服务设施。</w:t>
            </w:r>
          </w:p>
        </w:tc>
        <w:tc>
          <w:tcPr>
            <w:tcW w:w="562" w:type="dxa"/>
            <w:shd w:val="clear" w:color="auto" w:fill="auto"/>
            <w:vAlign w:val="center"/>
          </w:tcPr>
          <w:p w14:paraId="29324DDE">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1</w:t>
            </w:r>
          </w:p>
        </w:tc>
        <w:tc>
          <w:tcPr>
            <w:tcW w:w="684" w:type="dxa"/>
            <w:shd w:val="clear" w:color="auto" w:fill="auto"/>
            <w:vAlign w:val="center"/>
          </w:tcPr>
          <w:p w14:paraId="5EAB3054">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8000</w:t>
            </w:r>
          </w:p>
        </w:tc>
        <w:tc>
          <w:tcPr>
            <w:tcW w:w="966" w:type="dxa"/>
            <w:shd w:val="clear" w:color="auto" w:fill="auto"/>
            <w:vAlign w:val="center"/>
          </w:tcPr>
          <w:p w14:paraId="0DF439C7">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1600</w:t>
            </w:r>
          </w:p>
        </w:tc>
        <w:tc>
          <w:tcPr>
            <w:tcW w:w="684" w:type="dxa"/>
            <w:shd w:val="clear" w:color="auto" w:fill="auto"/>
            <w:vAlign w:val="center"/>
          </w:tcPr>
          <w:p w14:paraId="1467EDEF">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0</w:t>
            </w:r>
          </w:p>
        </w:tc>
        <w:tc>
          <w:tcPr>
            <w:tcW w:w="692" w:type="dxa"/>
            <w:shd w:val="clear" w:color="auto" w:fill="auto"/>
            <w:vAlign w:val="center"/>
          </w:tcPr>
          <w:p w14:paraId="17198395">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0</w:t>
            </w:r>
          </w:p>
        </w:tc>
        <w:tc>
          <w:tcPr>
            <w:tcW w:w="623" w:type="dxa"/>
            <w:shd w:val="clear" w:color="auto" w:fill="auto"/>
            <w:vAlign w:val="center"/>
          </w:tcPr>
          <w:p w14:paraId="3B4FF307">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是</w:t>
            </w:r>
          </w:p>
        </w:tc>
        <w:tc>
          <w:tcPr>
            <w:tcW w:w="1673" w:type="dxa"/>
            <w:shd w:val="clear" w:color="auto" w:fill="auto"/>
            <w:vAlign w:val="center"/>
          </w:tcPr>
          <w:p w14:paraId="2D4175E5">
            <w:pPr>
              <w:widowControl/>
              <w:spacing w:line="240" w:lineRule="exac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养老、助餐、文化休闲</w:t>
            </w:r>
          </w:p>
        </w:tc>
      </w:tr>
      <w:tr w14:paraId="15A11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435" w:type="dxa"/>
            <w:shd w:val="clear" w:color="auto" w:fill="auto"/>
            <w:vAlign w:val="center"/>
          </w:tcPr>
          <w:p w14:paraId="4F1ABF40">
            <w:pPr>
              <w:widowControl/>
              <w:spacing w:line="240" w:lineRule="exact"/>
              <w:jc w:val="center"/>
              <w:textAlignment w:val="center"/>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color w:val="auto"/>
                <w:sz w:val="18"/>
                <w:szCs w:val="18"/>
                <w:highlight w:val="none"/>
              </w:rPr>
              <w:t>5</w:t>
            </w:r>
          </w:p>
        </w:tc>
        <w:tc>
          <w:tcPr>
            <w:tcW w:w="1691" w:type="dxa"/>
            <w:shd w:val="clear" w:color="auto" w:fill="auto"/>
            <w:vAlign w:val="center"/>
          </w:tcPr>
          <w:p w14:paraId="18CF46EC">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开发区群益社区</w:t>
            </w:r>
          </w:p>
          <w:p w14:paraId="486CE951">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嵌入式养老</w:t>
            </w:r>
          </w:p>
        </w:tc>
        <w:tc>
          <w:tcPr>
            <w:tcW w:w="623" w:type="dxa"/>
            <w:shd w:val="clear" w:color="auto" w:fill="auto"/>
            <w:vAlign w:val="center"/>
          </w:tcPr>
          <w:p w14:paraId="5D44EFC0">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改建</w:t>
            </w:r>
          </w:p>
        </w:tc>
        <w:tc>
          <w:tcPr>
            <w:tcW w:w="1126" w:type="dxa"/>
            <w:shd w:val="clear" w:color="auto" w:fill="auto"/>
            <w:vAlign w:val="center"/>
          </w:tcPr>
          <w:p w14:paraId="362DD991">
            <w:pPr>
              <w:widowControl/>
              <w:spacing w:line="240" w:lineRule="exact"/>
              <w:jc w:val="cente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开发区</w:t>
            </w:r>
          </w:p>
          <w:p w14:paraId="3CC60386">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群益社区</w:t>
            </w:r>
          </w:p>
        </w:tc>
        <w:tc>
          <w:tcPr>
            <w:tcW w:w="707" w:type="dxa"/>
            <w:shd w:val="clear" w:color="auto" w:fill="auto"/>
            <w:vAlign w:val="center"/>
          </w:tcPr>
          <w:p w14:paraId="3513BF53">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800</w:t>
            </w:r>
          </w:p>
        </w:tc>
        <w:tc>
          <w:tcPr>
            <w:tcW w:w="624" w:type="dxa"/>
            <w:shd w:val="clear" w:color="auto" w:fill="auto"/>
            <w:vAlign w:val="center"/>
          </w:tcPr>
          <w:p w14:paraId="07073044">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2025</w:t>
            </w:r>
          </w:p>
        </w:tc>
        <w:tc>
          <w:tcPr>
            <w:tcW w:w="624" w:type="dxa"/>
            <w:shd w:val="clear" w:color="auto" w:fill="auto"/>
            <w:vAlign w:val="center"/>
          </w:tcPr>
          <w:p w14:paraId="4D4865CE">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2025</w:t>
            </w:r>
          </w:p>
        </w:tc>
        <w:tc>
          <w:tcPr>
            <w:tcW w:w="831" w:type="dxa"/>
            <w:shd w:val="clear" w:color="auto" w:fill="auto"/>
            <w:vAlign w:val="center"/>
          </w:tcPr>
          <w:p w14:paraId="0ADE0F54">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200</w:t>
            </w:r>
          </w:p>
        </w:tc>
        <w:tc>
          <w:tcPr>
            <w:tcW w:w="2654" w:type="dxa"/>
            <w:shd w:val="clear" w:color="auto" w:fill="auto"/>
            <w:vAlign w:val="center"/>
          </w:tcPr>
          <w:p w14:paraId="63C69322">
            <w:pPr>
              <w:widowControl/>
              <w:spacing w:line="240" w:lineRule="exac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建设集阅读区、餐饮区、观影区、活动室等一体的嵌入式养老。</w:t>
            </w:r>
          </w:p>
        </w:tc>
        <w:tc>
          <w:tcPr>
            <w:tcW w:w="562" w:type="dxa"/>
            <w:shd w:val="clear" w:color="auto" w:fill="auto"/>
            <w:vAlign w:val="center"/>
          </w:tcPr>
          <w:p w14:paraId="090CBB6A">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1</w:t>
            </w:r>
          </w:p>
        </w:tc>
        <w:tc>
          <w:tcPr>
            <w:tcW w:w="684" w:type="dxa"/>
            <w:shd w:val="clear" w:color="auto" w:fill="auto"/>
            <w:vAlign w:val="center"/>
          </w:tcPr>
          <w:p w14:paraId="1A73627E">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15000</w:t>
            </w:r>
          </w:p>
        </w:tc>
        <w:tc>
          <w:tcPr>
            <w:tcW w:w="966" w:type="dxa"/>
            <w:shd w:val="clear" w:color="auto" w:fill="auto"/>
            <w:vAlign w:val="center"/>
          </w:tcPr>
          <w:p w14:paraId="44F21502">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800</w:t>
            </w:r>
          </w:p>
        </w:tc>
        <w:tc>
          <w:tcPr>
            <w:tcW w:w="684" w:type="dxa"/>
            <w:shd w:val="clear" w:color="auto" w:fill="auto"/>
            <w:vAlign w:val="center"/>
          </w:tcPr>
          <w:p w14:paraId="1B25C9D1">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0</w:t>
            </w:r>
          </w:p>
        </w:tc>
        <w:tc>
          <w:tcPr>
            <w:tcW w:w="692" w:type="dxa"/>
            <w:shd w:val="clear" w:color="auto" w:fill="auto"/>
            <w:vAlign w:val="center"/>
          </w:tcPr>
          <w:p w14:paraId="239BAE37">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0</w:t>
            </w:r>
          </w:p>
        </w:tc>
        <w:tc>
          <w:tcPr>
            <w:tcW w:w="623" w:type="dxa"/>
            <w:shd w:val="clear" w:color="auto" w:fill="auto"/>
            <w:vAlign w:val="center"/>
          </w:tcPr>
          <w:p w14:paraId="245AAE21">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是</w:t>
            </w:r>
          </w:p>
        </w:tc>
        <w:tc>
          <w:tcPr>
            <w:tcW w:w="1673" w:type="dxa"/>
            <w:shd w:val="clear" w:color="auto" w:fill="auto"/>
            <w:vAlign w:val="center"/>
          </w:tcPr>
          <w:p w14:paraId="4117C990">
            <w:pPr>
              <w:widowControl/>
              <w:spacing w:line="240" w:lineRule="exac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养老、助餐、文化休闲</w:t>
            </w:r>
          </w:p>
        </w:tc>
      </w:tr>
      <w:tr w14:paraId="717D9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435" w:type="dxa"/>
            <w:shd w:val="clear" w:color="auto" w:fill="auto"/>
            <w:vAlign w:val="center"/>
          </w:tcPr>
          <w:p w14:paraId="16A7B1B6">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6</w:t>
            </w:r>
          </w:p>
        </w:tc>
        <w:tc>
          <w:tcPr>
            <w:tcW w:w="1691" w:type="dxa"/>
            <w:shd w:val="clear" w:color="auto" w:fill="auto"/>
            <w:vAlign w:val="center"/>
          </w:tcPr>
          <w:p w14:paraId="23A88902">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开发区乐文社区</w:t>
            </w:r>
          </w:p>
          <w:p w14:paraId="24EFFB93">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卫生服务站</w:t>
            </w:r>
          </w:p>
        </w:tc>
        <w:tc>
          <w:tcPr>
            <w:tcW w:w="623" w:type="dxa"/>
            <w:shd w:val="clear" w:color="auto" w:fill="auto"/>
            <w:vAlign w:val="center"/>
          </w:tcPr>
          <w:p w14:paraId="7A6CE53A">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改建</w:t>
            </w:r>
          </w:p>
        </w:tc>
        <w:tc>
          <w:tcPr>
            <w:tcW w:w="1126" w:type="dxa"/>
            <w:shd w:val="clear" w:color="auto" w:fill="auto"/>
            <w:vAlign w:val="center"/>
          </w:tcPr>
          <w:p w14:paraId="22039853">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开发区青阳城市管理办事处</w:t>
            </w:r>
          </w:p>
        </w:tc>
        <w:tc>
          <w:tcPr>
            <w:tcW w:w="707" w:type="dxa"/>
            <w:shd w:val="clear" w:color="auto" w:fill="auto"/>
            <w:vAlign w:val="center"/>
          </w:tcPr>
          <w:p w14:paraId="459C8940">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300</w:t>
            </w:r>
          </w:p>
        </w:tc>
        <w:tc>
          <w:tcPr>
            <w:tcW w:w="624" w:type="dxa"/>
            <w:shd w:val="clear" w:color="auto" w:fill="auto"/>
            <w:vAlign w:val="center"/>
          </w:tcPr>
          <w:p w14:paraId="5F1B60F9">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20</w:t>
            </w:r>
          </w:p>
          <w:p w14:paraId="67D3B3B5">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25</w:t>
            </w:r>
          </w:p>
        </w:tc>
        <w:tc>
          <w:tcPr>
            <w:tcW w:w="624" w:type="dxa"/>
            <w:shd w:val="clear" w:color="auto" w:fill="auto"/>
            <w:vAlign w:val="center"/>
          </w:tcPr>
          <w:p w14:paraId="03474FEE">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2025</w:t>
            </w:r>
          </w:p>
        </w:tc>
        <w:tc>
          <w:tcPr>
            <w:tcW w:w="831" w:type="dxa"/>
            <w:shd w:val="clear" w:color="auto" w:fill="auto"/>
            <w:vAlign w:val="center"/>
          </w:tcPr>
          <w:p w14:paraId="4CBD40E0">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40</w:t>
            </w:r>
          </w:p>
        </w:tc>
        <w:tc>
          <w:tcPr>
            <w:tcW w:w="2654" w:type="dxa"/>
            <w:shd w:val="clear" w:color="auto" w:fill="auto"/>
            <w:vAlign w:val="center"/>
          </w:tcPr>
          <w:p w14:paraId="414B5294">
            <w:pPr>
              <w:widowControl/>
              <w:spacing w:line="240" w:lineRule="exac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建设集医疗、保健、康复等六位一体社区健康保健服务设施。</w:t>
            </w:r>
          </w:p>
        </w:tc>
        <w:tc>
          <w:tcPr>
            <w:tcW w:w="562" w:type="dxa"/>
            <w:shd w:val="clear" w:color="auto" w:fill="auto"/>
            <w:vAlign w:val="center"/>
          </w:tcPr>
          <w:p w14:paraId="2B8CD1F5">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2</w:t>
            </w:r>
          </w:p>
        </w:tc>
        <w:tc>
          <w:tcPr>
            <w:tcW w:w="684" w:type="dxa"/>
            <w:shd w:val="clear" w:color="auto" w:fill="auto"/>
            <w:vAlign w:val="center"/>
          </w:tcPr>
          <w:p w14:paraId="20619717">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35000</w:t>
            </w:r>
          </w:p>
        </w:tc>
        <w:tc>
          <w:tcPr>
            <w:tcW w:w="966" w:type="dxa"/>
            <w:shd w:val="clear" w:color="auto" w:fill="auto"/>
            <w:vAlign w:val="center"/>
          </w:tcPr>
          <w:p w14:paraId="295A748C">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300</w:t>
            </w:r>
          </w:p>
        </w:tc>
        <w:tc>
          <w:tcPr>
            <w:tcW w:w="684" w:type="dxa"/>
            <w:shd w:val="clear" w:color="auto" w:fill="auto"/>
            <w:vAlign w:val="center"/>
          </w:tcPr>
          <w:p w14:paraId="35A5A2B8">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0</w:t>
            </w:r>
          </w:p>
        </w:tc>
        <w:tc>
          <w:tcPr>
            <w:tcW w:w="692" w:type="dxa"/>
            <w:shd w:val="clear" w:color="auto" w:fill="auto"/>
            <w:vAlign w:val="center"/>
          </w:tcPr>
          <w:p w14:paraId="1131BC55">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0</w:t>
            </w:r>
          </w:p>
        </w:tc>
        <w:tc>
          <w:tcPr>
            <w:tcW w:w="623" w:type="dxa"/>
            <w:shd w:val="clear" w:color="auto" w:fill="auto"/>
            <w:vAlign w:val="center"/>
          </w:tcPr>
          <w:p w14:paraId="5534682B">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是</w:t>
            </w:r>
          </w:p>
        </w:tc>
        <w:tc>
          <w:tcPr>
            <w:tcW w:w="1673" w:type="dxa"/>
            <w:shd w:val="clear" w:color="auto" w:fill="auto"/>
            <w:vAlign w:val="center"/>
          </w:tcPr>
          <w:p w14:paraId="7492F8DB">
            <w:pPr>
              <w:widowControl/>
              <w:spacing w:line="240" w:lineRule="exact"/>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rPr>
              <w:t>健康诊疗</w:t>
            </w:r>
            <w:r>
              <w:rPr>
                <w:rFonts w:hint="default" w:ascii="Times New Roman" w:hAnsi="Times New Roman" w:eastAsia="宋体" w:cs="Times New Roman"/>
                <w:color w:val="auto"/>
                <w:kern w:val="0"/>
                <w:sz w:val="18"/>
                <w:szCs w:val="18"/>
                <w:highlight w:val="none"/>
                <w:lang w:val="en-US" w:eastAsia="zh-CN"/>
              </w:rPr>
              <w:t>等</w:t>
            </w:r>
          </w:p>
        </w:tc>
      </w:tr>
      <w:tr w14:paraId="53627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435" w:type="dxa"/>
            <w:shd w:val="clear" w:color="auto" w:fill="auto"/>
            <w:vAlign w:val="center"/>
          </w:tcPr>
          <w:p w14:paraId="291D806D">
            <w:pPr>
              <w:widowControl/>
              <w:spacing w:line="240" w:lineRule="exact"/>
              <w:jc w:val="center"/>
              <w:textAlignment w:val="center"/>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7</w:t>
            </w:r>
          </w:p>
        </w:tc>
        <w:tc>
          <w:tcPr>
            <w:tcW w:w="1691" w:type="dxa"/>
            <w:shd w:val="clear" w:color="auto" w:fill="auto"/>
            <w:vAlign w:val="center"/>
          </w:tcPr>
          <w:p w14:paraId="19102C76">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开发区樾河</w:t>
            </w:r>
          </w:p>
          <w:p w14:paraId="317CB6C5">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家庭医生工作室</w:t>
            </w:r>
          </w:p>
        </w:tc>
        <w:tc>
          <w:tcPr>
            <w:tcW w:w="623" w:type="dxa"/>
            <w:shd w:val="clear" w:color="auto" w:fill="auto"/>
            <w:vAlign w:val="center"/>
          </w:tcPr>
          <w:p w14:paraId="31E450DB">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新建</w:t>
            </w:r>
          </w:p>
        </w:tc>
        <w:tc>
          <w:tcPr>
            <w:tcW w:w="1126" w:type="dxa"/>
            <w:shd w:val="clear" w:color="auto" w:fill="auto"/>
            <w:vAlign w:val="center"/>
          </w:tcPr>
          <w:p w14:paraId="6941F8EF">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开发区青阳城市管理办事处</w:t>
            </w:r>
          </w:p>
        </w:tc>
        <w:tc>
          <w:tcPr>
            <w:tcW w:w="707" w:type="dxa"/>
            <w:shd w:val="clear" w:color="auto" w:fill="auto"/>
            <w:vAlign w:val="center"/>
          </w:tcPr>
          <w:p w14:paraId="4973FF50">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40</w:t>
            </w:r>
          </w:p>
        </w:tc>
        <w:tc>
          <w:tcPr>
            <w:tcW w:w="624" w:type="dxa"/>
            <w:shd w:val="clear" w:color="auto" w:fill="auto"/>
            <w:vAlign w:val="center"/>
          </w:tcPr>
          <w:p w14:paraId="46C1F0B2">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2025</w:t>
            </w:r>
          </w:p>
        </w:tc>
        <w:tc>
          <w:tcPr>
            <w:tcW w:w="624" w:type="dxa"/>
            <w:shd w:val="clear" w:color="auto" w:fill="auto"/>
            <w:vAlign w:val="center"/>
          </w:tcPr>
          <w:p w14:paraId="55A0413D">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2025</w:t>
            </w:r>
          </w:p>
        </w:tc>
        <w:tc>
          <w:tcPr>
            <w:tcW w:w="831" w:type="dxa"/>
            <w:shd w:val="clear" w:color="auto" w:fill="auto"/>
            <w:vAlign w:val="center"/>
          </w:tcPr>
          <w:p w14:paraId="5EE85808">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15</w:t>
            </w:r>
          </w:p>
        </w:tc>
        <w:tc>
          <w:tcPr>
            <w:tcW w:w="2654" w:type="dxa"/>
            <w:shd w:val="clear" w:color="auto" w:fill="auto"/>
            <w:vAlign w:val="center"/>
          </w:tcPr>
          <w:p w14:paraId="2174277A">
            <w:pPr>
              <w:widowControl/>
              <w:spacing w:line="240" w:lineRule="exac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拟建设家庭医生工作室，提供医疗、保健等服务。</w:t>
            </w:r>
          </w:p>
        </w:tc>
        <w:tc>
          <w:tcPr>
            <w:tcW w:w="562" w:type="dxa"/>
            <w:shd w:val="clear" w:color="auto" w:fill="auto"/>
            <w:vAlign w:val="center"/>
          </w:tcPr>
          <w:p w14:paraId="173519B7">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1</w:t>
            </w:r>
          </w:p>
        </w:tc>
        <w:tc>
          <w:tcPr>
            <w:tcW w:w="684" w:type="dxa"/>
            <w:shd w:val="clear" w:color="auto" w:fill="auto"/>
            <w:vAlign w:val="center"/>
          </w:tcPr>
          <w:p w14:paraId="2C1A425B">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8000</w:t>
            </w:r>
          </w:p>
        </w:tc>
        <w:tc>
          <w:tcPr>
            <w:tcW w:w="966" w:type="dxa"/>
            <w:shd w:val="clear" w:color="auto" w:fill="auto"/>
            <w:vAlign w:val="center"/>
          </w:tcPr>
          <w:p w14:paraId="1F7E9860">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40</w:t>
            </w:r>
          </w:p>
        </w:tc>
        <w:tc>
          <w:tcPr>
            <w:tcW w:w="684" w:type="dxa"/>
            <w:shd w:val="clear" w:color="auto" w:fill="auto"/>
            <w:vAlign w:val="center"/>
          </w:tcPr>
          <w:p w14:paraId="75BF64C4">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0</w:t>
            </w:r>
          </w:p>
        </w:tc>
        <w:tc>
          <w:tcPr>
            <w:tcW w:w="692" w:type="dxa"/>
            <w:shd w:val="clear" w:color="auto" w:fill="auto"/>
            <w:vAlign w:val="center"/>
          </w:tcPr>
          <w:p w14:paraId="4626384C">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0</w:t>
            </w:r>
          </w:p>
        </w:tc>
        <w:tc>
          <w:tcPr>
            <w:tcW w:w="623" w:type="dxa"/>
            <w:shd w:val="clear" w:color="auto" w:fill="auto"/>
            <w:vAlign w:val="center"/>
          </w:tcPr>
          <w:p w14:paraId="7A8E6D09">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是</w:t>
            </w:r>
          </w:p>
        </w:tc>
        <w:tc>
          <w:tcPr>
            <w:tcW w:w="1673" w:type="dxa"/>
            <w:shd w:val="clear" w:color="auto" w:fill="auto"/>
            <w:vAlign w:val="center"/>
          </w:tcPr>
          <w:p w14:paraId="02473908">
            <w:pPr>
              <w:widowControl/>
              <w:spacing w:line="240" w:lineRule="exac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健康诊疗</w:t>
            </w:r>
            <w:r>
              <w:rPr>
                <w:rFonts w:hint="default" w:ascii="Times New Roman" w:hAnsi="Times New Roman" w:eastAsia="宋体" w:cs="Times New Roman"/>
                <w:color w:val="auto"/>
                <w:kern w:val="0"/>
                <w:sz w:val="18"/>
                <w:szCs w:val="18"/>
                <w:highlight w:val="none"/>
                <w:lang w:val="en-US" w:eastAsia="zh-CN"/>
              </w:rPr>
              <w:t>等</w:t>
            </w:r>
          </w:p>
        </w:tc>
      </w:tr>
      <w:tr w14:paraId="5FE46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435" w:type="dxa"/>
            <w:shd w:val="clear" w:color="auto" w:fill="auto"/>
            <w:vAlign w:val="center"/>
          </w:tcPr>
          <w:p w14:paraId="1C6A7C5A">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8</w:t>
            </w:r>
          </w:p>
        </w:tc>
        <w:tc>
          <w:tcPr>
            <w:tcW w:w="1691" w:type="dxa"/>
            <w:shd w:val="clear" w:color="auto" w:fill="auto"/>
            <w:vAlign w:val="center"/>
          </w:tcPr>
          <w:p w14:paraId="56824874">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高新区明珠社区嵌入式服务综合体</w:t>
            </w:r>
          </w:p>
          <w:p w14:paraId="4E8FA05C">
            <w:pPr>
              <w:widowControl/>
              <w:spacing w:line="240" w:lineRule="exact"/>
              <w:jc w:val="both"/>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（社区服务中心）</w:t>
            </w:r>
          </w:p>
        </w:tc>
        <w:tc>
          <w:tcPr>
            <w:tcW w:w="623" w:type="dxa"/>
            <w:shd w:val="clear" w:color="auto" w:fill="auto"/>
            <w:vAlign w:val="center"/>
          </w:tcPr>
          <w:p w14:paraId="22A94C10">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改</w:t>
            </w:r>
          </w:p>
          <w:p w14:paraId="2BA17DFC">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扩建</w:t>
            </w:r>
          </w:p>
        </w:tc>
        <w:tc>
          <w:tcPr>
            <w:tcW w:w="1126" w:type="dxa"/>
            <w:shd w:val="clear" w:color="auto" w:fill="auto"/>
            <w:vAlign w:val="center"/>
          </w:tcPr>
          <w:p w14:paraId="1A9D7A03">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高新区亭林城市管理办事处</w:t>
            </w:r>
          </w:p>
        </w:tc>
        <w:tc>
          <w:tcPr>
            <w:tcW w:w="707" w:type="dxa"/>
            <w:shd w:val="clear" w:color="auto" w:fill="auto"/>
            <w:vAlign w:val="center"/>
          </w:tcPr>
          <w:p w14:paraId="6D9B1CD5">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615</w:t>
            </w:r>
          </w:p>
        </w:tc>
        <w:tc>
          <w:tcPr>
            <w:tcW w:w="624" w:type="dxa"/>
            <w:shd w:val="clear" w:color="auto" w:fill="auto"/>
            <w:vAlign w:val="center"/>
          </w:tcPr>
          <w:p w14:paraId="54636B3F">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2024</w:t>
            </w:r>
          </w:p>
        </w:tc>
        <w:tc>
          <w:tcPr>
            <w:tcW w:w="624" w:type="dxa"/>
            <w:shd w:val="clear" w:color="auto" w:fill="auto"/>
            <w:vAlign w:val="center"/>
          </w:tcPr>
          <w:p w14:paraId="4054C8CB">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2025</w:t>
            </w:r>
          </w:p>
        </w:tc>
        <w:tc>
          <w:tcPr>
            <w:tcW w:w="831" w:type="dxa"/>
            <w:shd w:val="clear" w:color="auto" w:fill="auto"/>
            <w:vAlign w:val="center"/>
          </w:tcPr>
          <w:p w14:paraId="570DD2CC">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184.5</w:t>
            </w:r>
          </w:p>
        </w:tc>
        <w:tc>
          <w:tcPr>
            <w:tcW w:w="2654" w:type="dxa"/>
            <w:shd w:val="clear" w:color="auto" w:fill="auto"/>
            <w:vAlign w:val="center"/>
          </w:tcPr>
          <w:p w14:paraId="1AF47C1B">
            <w:pPr>
              <w:widowControl/>
              <w:spacing w:line="240" w:lineRule="exac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建设集养老、助餐、健康诊疗等功能于一体的社区综合服务中心。</w:t>
            </w:r>
          </w:p>
        </w:tc>
        <w:tc>
          <w:tcPr>
            <w:tcW w:w="562" w:type="dxa"/>
            <w:shd w:val="clear" w:color="auto" w:fill="auto"/>
            <w:vAlign w:val="center"/>
          </w:tcPr>
          <w:p w14:paraId="2D14ED91">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w:t>
            </w:r>
          </w:p>
        </w:tc>
        <w:tc>
          <w:tcPr>
            <w:tcW w:w="684" w:type="dxa"/>
            <w:shd w:val="clear" w:color="auto" w:fill="auto"/>
            <w:vAlign w:val="center"/>
          </w:tcPr>
          <w:p w14:paraId="217EF9EB">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8189</w:t>
            </w:r>
          </w:p>
        </w:tc>
        <w:tc>
          <w:tcPr>
            <w:tcW w:w="966" w:type="dxa"/>
            <w:shd w:val="clear" w:color="auto" w:fill="auto"/>
            <w:vAlign w:val="center"/>
          </w:tcPr>
          <w:p w14:paraId="676227C2">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615</w:t>
            </w:r>
          </w:p>
        </w:tc>
        <w:tc>
          <w:tcPr>
            <w:tcW w:w="684" w:type="dxa"/>
            <w:shd w:val="clear" w:color="auto" w:fill="auto"/>
            <w:vAlign w:val="center"/>
          </w:tcPr>
          <w:p w14:paraId="48636BB7">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0</w:t>
            </w:r>
          </w:p>
        </w:tc>
        <w:tc>
          <w:tcPr>
            <w:tcW w:w="692" w:type="dxa"/>
            <w:shd w:val="clear" w:color="auto" w:fill="auto"/>
            <w:vAlign w:val="center"/>
          </w:tcPr>
          <w:p w14:paraId="49DD5206">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0</w:t>
            </w:r>
          </w:p>
        </w:tc>
        <w:tc>
          <w:tcPr>
            <w:tcW w:w="623" w:type="dxa"/>
            <w:shd w:val="clear" w:color="auto" w:fill="auto"/>
            <w:vAlign w:val="center"/>
          </w:tcPr>
          <w:p w14:paraId="45A1C3D9">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否</w:t>
            </w:r>
          </w:p>
        </w:tc>
        <w:tc>
          <w:tcPr>
            <w:tcW w:w="1673" w:type="dxa"/>
            <w:shd w:val="clear" w:color="auto" w:fill="auto"/>
            <w:vAlign w:val="center"/>
          </w:tcPr>
          <w:p w14:paraId="068D2705">
            <w:pPr>
              <w:widowControl/>
              <w:spacing w:line="240" w:lineRule="exac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养老、社区、健康诊疗等</w:t>
            </w:r>
          </w:p>
        </w:tc>
      </w:tr>
      <w:tr w14:paraId="48583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435" w:type="dxa"/>
            <w:shd w:val="clear" w:color="auto" w:fill="auto"/>
            <w:vAlign w:val="center"/>
          </w:tcPr>
          <w:p w14:paraId="022C43A3">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9</w:t>
            </w:r>
          </w:p>
        </w:tc>
        <w:tc>
          <w:tcPr>
            <w:tcW w:w="1691" w:type="dxa"/>
            <w:shd w:val="clear" w:color="auto" w:fill="auto"/>
            <w:vAlign w:val="center"/>
          </w:tcPr>
          <w:p w14:paraId="5D539247">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高新区汉林路市民服务中心新建工程</w:t>
            </w:r>
          </w:p>
        </w:tc>
        <w:tc>
          <w:tcPr>
            <w:tcW w:w="623" w:type="dxa"/>
            <w:shd w:val="clear" w:color="auto" w:fill="auto"/>
            <w:vAlign w:val="center"/>
          </w:tcPr>
          <w:p w14:paraId="69B37E3E">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新建</w:t>
            </w:r>
          </w:p>
        </w:tc>
        <w:tc>
          <w:tcPr>
            <w:tcW w:w="1126" w:type="dxa"/>
            <w:shd w:val="clear" w:color="auto" w:fill="auto"/>
            <w:vAlign w:val="center"/>
          </w:tcPr>
          <w:p w14:paraId="7E6454A3">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昆山市玉山镇人民政府</w:t>
            </w:r>
          </w:p>
        </w:tc>
        <w:tc>
          <w:tcPr>
            <w:tcW w:w="707" w:type="dxa"/>
            <w:shd w:val="clear" w:color="auto" w:fill="auto"/>
            <w:vAlign w:val="center"/>
          </w:tcPr>
          <w:p w14:paraId="71A5179F">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6600</w:t>
            </w:r>
          </w:p>
        </w:tc>
        <w:tc>
          <w:tcPr>
            <w:tcW w:w="624" w:type="dxa"/>
            <w:shd w:val="clear" w:color="auto" w:fill="auto"/>
            <w:vAlign w:val="center"/>
          </w:tcPr>
          <w:p w14:paraId="5A4CEC2E">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2025</w:t>
            </w:r>
          </w:p>
        </w:tc>
        <w:tc>
          <w:tcPr>
            <w:tcW w:w="624" w:type="dxa"/>
            <w:shd w:val="clear" w:color="auto" w:fill="auto"/>
            <w:vAlign w:val="center"/>
          </w:tcPr>
          <w:p w14:paraId="119CB714">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2027</w:t>
            </w:r>
          </w:p>
        </w:tc>
        <w:tc>
          <w:tcPr>
            <w:tcW w:w="831" w:type="dxa"/>
            <w:shd w:val="clear" w:color="auto" w:fill="auto"/>
            <w:vAlign w:val="center"/>
          </w:tcPr>
          <w:p w14:paraId="7FE2F2B4">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4300</w:t>
            </w:r>
          </w:p>
        </w:tc>
        <w:tc>
          <w:tcPr>
            <w:tcW w:w="2654" w:type="dxa"/>
            <w:shd w:val="clear" w:color="auto" w:fill="auto"/>
            <w:vAlign w:val="center"/>
          </w:tcPr>
          <w:p w14:paraId="1441920D">
            <w:pPr>
              <w:widowControl/>
              <w:spacing w:line="240" w:lineRule="exac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建设社区服务中心、社区活动中心、日间照料中心等。</w:t>
            </w:r>
          </w:p>
        </w:tc>
        <w:tc>
          <w:tcPr>
            <w:tcW w:w="562" w:type="dxa"/>
            <w:shd w:val="clear" w:color="auto" w:fill="auto"/>
            <w:vAlign w:val="center"/>
          </w:tcPr>
          <w:p w14:paraId="62425F52">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1</w:t>
            </w:r>
          </w:p>
        </w:tc>
        <w:tc>
          <w:tcPr>
            <w:tcW w:w="684" w:type="dxa"/>
            <w:shd w:val="clear" w:color="auto" w:fill="auto"/>
            <w:vAlign w:val="center"/>
          </w:tcPr>
          <w:p w14:paraId="4777CBA7">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15000</w:t>
            </w:r>
          </w:p>
        </w:tc>
        <w:tc>
          <w:tcPr>
            <w:tcW w:w="966" w:type="dxa"/>
            <w:shd w:val="clear" w:color="auto" w:fill="auto"/>
            <w:vAlign w:val="center"/>
          </w:tcPr>
          <w:p w14:paraId="767292D0">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6600</w:t>
            </w:r>
          </w:p>
        </w:tc>
        <w:tc>
          <w:tcPr>
            <w:tcW w:w="684" w:type="dxa"/>
            <w:shd w:val="clear" w:color="auto" w:fill="auto"/>
            <w:vAlign w:val="center"/>
          </w:tcPr>
          <w:p w14:paraId="4ED0F823">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0</w:t>
            </w:r>
          </w:p>
        </w:tc>
        <w:tc>
          <w:tcPr>
            <w:tcW w:w="692" w:type="dxa"/>
            <w:shd w:val="clear" w:color="auto" w:fill="auto"/>
            <w:vAlign w:val="center"/>
          </w:tcPr>
          <w:p w14:paraId="15E10B72">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0</w:t>
            </w:r>
          </w:p>
        </w:tc>
        <w:tc>
          <w:tcPr>
            <w:tcW w:w="623" w:type="dxa"/>
            <w:shd w:val="clear" w:color="auto" w:fill="auto"/>
            <w:vAlign w:val="center"/>
          </w:tcPr>
          <w:p w14:paraId="5ED0ABAA">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否</w:t>
            </w:r>
          </w:p>
        </w:tc>
        <w:tc>
          <w:tcPr>
            <w:tcW w:w="1673" w:type="dxa"/>
            <w:shd w:val="clear" w:color="auto" w:fill="auto"/>
            <w:vAlign w:val="center"/>
          </w:tcPr>
          <w:p w14:paraId="40024E4C">
            <w:pPr>
              <w:widowControl/>
              <w:spacing w:line="240" w:lineRule="exac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养老、社区、家政便民、健康服务、体育健身、文化休闲、儿童游憩等</w:t>
            </w:r>
          </w:p>
        </w:tc>
      </w:tr>
      <w:tr w14:paraId="43C73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435" w:type="dxa"/>
            <w:shd w:val="clear" w:color="auto" w:fill="auto"/>
            <w:vAlign w:val="center"/>
          </w:tcPr>
          <w:p w14:paraId="59C9500B">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10</w:t>
            </w:r>
          </w:p>
        </w:tc>
        <w:tc>
          <w:tcPr>
            <w:tcW w:w="1691" w:type="dxa"/>
            <w:shd w:val="clear" w:color="auto" w:fill="auto"/>
            <w:vAlign w:val="center"/>
          </w:tcPr>
          <w:p w14:paraId="0522B2A7">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高新区大同社区嵌入式服务综合体</w:t>
            </w:r>
          </w:p>
          <w:p w14:paraId="49B39432">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（社区服务中心）</w:t>
            </w:r>
          </w:p>
        </w:tc>
        <w:tc>
          <w:tcPr>
            <w:tcW w:w="623" w:type="dxa"/>
            <w:shd w:val="clear" w:color="auto" w:fill="auto"/>
            <w:vAlign w:val="center"/>
          </w:tcPr>
          <w:p w14:paraId="054BE19A">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新建</w:t>
            </w:r>
          </w:p>
        </w:tc>
        <w:tc>
          <w:tcPr>
            <w:tcW w:w="1126" w:type="dxa"/>
            <w:shd w:val="clear" w:color="auto" w:fill="auto"/>
            <w:vAlign w:val="center"/>
          </w:tcPr>
          <w:p w14:paraId="5ADCCCBD">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高新区亭林城市管理办事处</w:t>
            </w:r>
          </w:p>
        </w:tc>
        <w:tc>
          <w:tcPr>
            <w:tcW w:w="707" w:type="dxa"/>
            <w:shd w:val="clear" w:color="auto" w:fill="auto"/>
            <w:vAlign w:val="center"/>
          </w:tcPr>
          <w:p w14:paraId="14B2472F">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1254</w:t>
            </w:r>
          </w:p>
        </w:tc>
        <w:tc>
          <w:tcPr>
            <w:tcW w:w="624" w:type="dxa"/>
            <w:shd w:val="clear" w:color="auto" w:fill="auto"/>
            <w:vAlign w:val="center"/>
          </w:tcPr>
          <w:p w14:paraId="0E3291AD">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2025</w:t>
            </w:r>
          </w:p>
        </w:tc>
        <w:tc>
          <w:tcPr>
            <w:tcW w:w="624" w:type="dxa"/>
            <w:shd w:val="clear" w:color="auto" w:fill="auto"/>
            <w:vAlign w:val="center"/>
          </w:tcPr>
          <w:p w14:paraId="165EC682">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2025</w:t>
            </w:r>
          </w:p>
        </w:tc>
        <w:tc>
          <w:tcPr>
            <w:tcW w:w="831" w:type="dxa"/>
            <w:shd w:val="clear" w:color="auto" w:fill="auto"/>
            <w:vAlign w:val="center"/>
          </w:tcPr>
          <w:p w14:paraId="1BE6828D">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239.48</w:t>
            </w:r>
          </w:p>
        </w:tc>
        <w:tc>
          <w:tcPr>
            <w:tcW w:w="2654" w:type="dxa"/>
            <w:shd w:val="clear" w:color="auto" w:fill="auto"/>
            <w:vAlign w:val="center"/>
          </w:tcPr>
          <w:p w14:paraId="3D1F3E9B">
            <w:pPr>
              <w:widowControl/>
              <w:spacing w:line="240" w:lineRule="exac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建设集养老、助餐、健康诊疗、文化休闲、文体健身等功能于一体的社区综合服务中心。</w:t>
            </w:r>
          </w:p>
        </w:tc>
        <w:tc>
          <w:tcPr>
            <w:tcW w:w="562" w:type="dxa"/>
            <w:shd w:val="clear" w:color="auto" w:fill="auto"/>
            <w:vAlign w:val="center"/>
          </w:tcPr>
          <w:p w14:paraId="65DADF98">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1</w:t>
            </w:r>
          </w:p>
        </w:tc>
        <w:tc>
          <w:tcPr>
            <w:tcW w:w="684" w:type="dxa"/>
            <w:shd w:val="clear" w:color="auto" w:fill="auto"/>
            <w:vAlign w:val="center"/>
          </w:tcPr>
          <w:p w14:paraId="2D36F25B">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3840</w:t>
            </w:r>
          </w:p>
        </w:tc>
        <w:tc>
          <w:tcPr>
            <w:tcW w:w="966" w:type="dxa"/>
            <w:shd w:val="clear" w:color="auto" w:fill="auto"/>
            <w:vAlign w:val="center"/>
          </w:tcPr>
          <w:p w14:paraId="3204E3CF">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1254</w:t>
            </w:r>
          </w:p>
        </w:tc>
        <w:tc>
          <w:tcPr>
            <w:tcW w:w="684" w:type="dxa"/>
            <w:shd w:val="clear" w:color="auto" w:fill="auto"/>
            <w:vAlign w:val="center"/>
          </w:tcPr>
          <w:p w14:paraId="10B65208">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0</w:t>
            </w:r>
          </w:p>
        </w:tc>
        <w:tc>
          <w:tcPr>
            <w:tcW w:w="692" w:type="dxa"/>
            <w:shd w:val="clear" w:color="auto" w:fill="auto"/>
            <w:vAlign w:val="center"/>
          </w:tcPr>
          <w:p w14:paraId="27E10BAF">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0</w:t>
            </w:r>
          </w:p>
        </w:tc>
        <w:tc>
          <w:tcPr>
            <w:tcW w:w="623" w:type="dxa"/>
            <w:shd w:val="clear" w:color="auto" w:fill="auto"/>
            <w:vAlign w:val="center"/>
          </w:tcPr>
          <w:p w14:paraId="3D526F27">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否</w:t>
            </w:r>
          </w:p>
        </w:tc>
        <w:tc>
          <w:tcPr>
            <w:tcW w:w="1673" w:type="dxa"/>
            <w:shd w:val="clear" w:color="auto" w:fill="auto"/>
            <w:vAlign w:val="center"/>
          </w:tcPr>
          <w:p w14:paraId="5C2BAFD6">
            <w:pPr>
              <w:widowControl/>
              <w:spacing w:line="240" w:lineRule="exac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养老、社区、健康诊疗、文体健身等</w:t>
            </w:r>
          </w:p>
        </w:tc>
      </w:tr>
      <w:tr w14:paraId="3DF04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435" w:type="dxa"/>
            <w:shd w:val="clear" w:color="auto" w:fill="auto"/>
            <w:vAlign w:val="center"/>
          </w:tcPr>
          <w:p w14:paraId="02B61B09">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11</w:t>
            </w:r>
          </w:p>
        </w:tc>
        <w:tc>
          <w:tcPr>
            <w:tcW w:w="1691" w:type="dxa"/>
            <w:shd w:val="clear" w:color="auto" w:fill="auto"/>
            <w:vAlign w:val="center"/>
          </w:tcPr>
          <w:p w14:paraId="65F55D8E">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高新区杨林社区</w:t>
            </w:r>
          </w:p>
          <w:p w14:paraId="291C5329">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嵌入式养老</w:t>
            </w:r>
          </w:p>
        </w:tc>
        <w:tc>
          <w:tcPr>
            <w:tcW w:w="623" w:type="dxa"/>
            <w:shd w:val="clear" w:color="auto" w:fill="auto"/>
            <w:vAlign w:val="center"/>
          </w:tcPr>
          <w:p w14:paraId="3F7721A3">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改建</w:t>
            </w:r>
          </w:p>
        </w:tc>
        <w:tc>
          <w:tcPr>
            <w:tcW w:w="1126" w:type="dxa"/>
            <w:shd w:val="clear" w:color="auto" w:fill="auto"/>
            <w:vAlign w:val="center"/>
          </w:tcPr>
          <w:p w14:paraId="6FEF124E">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高新区</w:t>
            </w:r>
          </w:p>
          <w:p w14:paraId="65E46670">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杨林社区</w:t>
            </w:r>
          </w:p>
        </w:tc>
        <w:tc>
          <w:tcPr>
            <w:tcW w:w="707" w:type="dxa"/>
            <w:shd w:val="clear" w:color="auto" w:fill="auto"/>
            <w:vAlign w:val="center"/>
          </w:tcPr>
          <w:p w14:paraId="376CC140">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1270</w:t>
            </w:r>
          </w:p>
        </w:tc>
        <w:tc>
          <w:tcPr>
            <w:tcW w:w="624" w:type="dxa"/>
            <w:shd w:val="clear" w:color="auto" w:fill="auto"/>
            <w:vAlign w:val="center"/>
          </w:tcPr>
          <w:p w14:paraId="46C27854">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2025</w:t>
            </w:r>
          </w:p>
        </w:tc>
        <w:tc>
          <w:tcPr>
            <w:tcW w:w="624" w:type="dxa"/>
            <w:shd w:val="clear" w:color="auto" w:fill="auto"/>
            <w:vAlign w:val="center"/>
          </w:tcPr>
          <w:p w14:paraId="4813C559">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2025</w:t>
            </w:r>
          </w:p>
        </w:tc>
        <w:tc>
          <w:tcPr>
            <w:tcW w:w="831" w:type="dxa"/>
            <w:shd w:val="clear" w:color="auto" w:fill="auto"/>
            <w:vAlign w:val="center"/>
          </w:tcPr>
          <w:p w14:paraId="154BD9D1">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200</w:t>
            </w:r>
          </w:p>
        </w:tc>
        <w:tc>
          <w:tcPr>
            <w:tcW w:w="2654" w:type="dxa"/>
            <w:shd w:val="clear" w:color="auto" w:fill="auto"/>
            <w:vAlign w:val="center"/>
          </w:tcPr>
          <w:p w14:paraId="78DB9B33">
            <w:pPr>
              <w:widowControl/>
              <w:spacing w:line="240" w:lineRule="exac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设置阅读区、餐饮区、观影区、活动室等。</w:t>
            </w:r>
          </w:p>
        </w:tc>
        <w:tc>
          <w:tcPr>
            <w:tcW w:w="562" w:type="dxa"/>
            <w:shd w:val="clear" w:color="auto" w:fill="auto"/>
            <w:vAlign w:val="center"/>
          </w:tcPr>
          <w:p w14:paraId="5BADF68B">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w:t>
            </w:r>
          </w:p>
        </w:tc>
        <w:tc>
          <w:tcPr>
            <w:tcW w:w="684" w:type="dxa"/>
            <w:shd w:val="clear" w:color="auto" w:fill="auto"/>
            <w:vAlign w:val="center"/>
          </w:tcPr>
          <w:p w14:paraId="19905F2E">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3000</w:t>
            </w:r>
          </w:p>
        </w:tc>
        <w:tc>
          <w:tcPr>
            <w:tcW w:w="966" w:type="dxa"/>
            <w:shd w:val="clear" w:color="auto" w:fill="auto"/>
            <w:vAlign w:val="center"/>
          </w:tcPr>
          <w:p w14:paraId="3B6594D5">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1270</w:t>
            </w:r>
          </w:p>
        </w:tc>
        <w:tc>
          <w:tcPr>
            <w:tcW w:w="684" w:type="dxa"/>
            <w:shd w:val="clear" w:color="auto" w:fill="auto"/>
            <w:vAlign w:val="center"/>
          </w:tcPr>
          <w:p w14:paraId="3256219A">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0</w:t>
            </w:r>
          </w:p>
        </w:tc>
        <w:tc>
          <w:tcPr>
            <w:tcW w:w="692" w:type="dxa"/>
            <w:shd w:val="clear" w:color="auto" w:fill="auto"/>
            <w:vAlign w:val="center"/>
          </w:tcPr>
          <w:p w14:paraId="0974D85A">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0</w:t>
            </w:r>
          </w:p>
        </w:tc>
        <w:tc>
          <w:tcPr>
            <w:tcW w:w="623" w:type="dxa"/>
            <w:shd w:val="clear" w:color="auto" w:fill="auto"/>
            <w:vAlign w:val="center"/>
          </w:tcPr>
          <w:p w14:paraId="044C85B7">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是</w:t>
            </w:r>
          </w:p>
        </w:tc>
        <w:tc>
          <w:tcPr>
            <w:tcW w:w="1673" w:type="dxa"/>
            <w:shd w:val="clear" w:color="auto" w:fill="auto"/>
            <w:vAlign w:val="center"/>
          </w:tcPr>
          <w:p w14:paraId="45D70107">
            <w:pPr>
              <w:widowControl/>
              <w:spacing w:line="240" w:lineRule="exac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养老、助餐、文化休闲</w:t>
            </w:r>
          </w:p>
        </w:tc>
      </w:tr>
      <w:tr w14:paraId="3A81A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435" w:type="dxa"/>
            <w:shd w:val="clear" w:color="auto" w:fill="auto"/>
            <w:vAlign w:val="center"/>
          </w:tcPr>
          <w:p w14:paraId="10522F25">
            <w:pPr>
              <w:widowControl/>
              <w:spacing w:line="240" w:lineRule="exact"/>
              <w:jc w:val="center"/>
              <w:textAlignment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1</w:t>
            </w:r>
            <w:r>
              <w:rPr>
                <w:rFonts w:hint="eastAsia" w:eastAsia="宋体" w:cs="Times New Roman"/>
                <w:color w:val="auto"/>
                <w:kern w:val="0"/>
                <w:sz w:val="18"/>
                <w:szCs w:val="18"/>
                <w:lang w:val="en-US" w:eastAsia="zh-CN"/>
              </w:rPr>
              <w:t>2</w:t>
            </w:r>
          </w:p>
        </w:tc>
        <w:tc>
          <w:tcPr>
            <w:tcW w:w="1691" w:type="dxa"/>
            <w:shd w:val="clear" w:color="auto" w:fill="auto"/>
            <w:vAlign w:val="center"/>
          </w:tcPr>
          <w:p w14:paraId="5ADFFABA">
            <w:pPr>
              <w:widowControl/>
              <w:spacing w:line="240" w:lineRule="exact"/>
              <w:jc w:val="center"/>
              <w:textAlignment w:val="center"/>
              <w:rPr>
                <w:rFonts w:hint="default" w:ascii="Times New Roman" w:hAnsi="Times New Roman" w:eastAsia="宋体" w:cs="Times New Roman"/>
                <w:color w:val="auto"/>
                <w:kern w:val="0"/>
                <w:sz w:val="18"/>
                <w:szCs w:val="18"/>
              </w:rPr>
            </w:pPr>
            <w:r>
              <w:rPr>
                <w:rFonts w:hint="eastAsia" w:ascii="Times New Roman" w:hAnsi="Times New Roman" w:eastAsia="宋体" w:cs="Times New Roman"/>
                <w:color w:val="auto"/>
                <w:kern w:val="0"/>
                <w:sz w:val="18"/>
                <w:szCs w:val="18"/>
                <w:lang w:val="en-US" w:eastAsia="zh-CN"/>
              </w:rPr>
              <w:t>高新区柏龄学苑(柏庐文体活动中心）</w:t>
            </w:r>
          </w:p>
        </w:tc>
        <w:tc>
          <w:tcPr>
            <w:tcW w:w="623" w:type="dxa"/>
            <w:shd w:val="clear" w:color="auto" w:fill="auto"/>
            <w:vAlign w:val="center"/>
          </w:tcPr>
          <w:p w14:paraId="47C6E46E">
            <w:pPr>
              <w:widowControl/>
              <w:spacing w:line="240" w:lineRule="exact"/>
              <w:jc w:val="center"/>
              <w:textAlignment w:val="center"/>
              <w:rPr>
                <w:rFonts w:hint="default" w:ascii="Times New Roman" w:hAnsi="Times New Roman" w:eastAsia="宋体" w:cs="Times New Roman"/>
                <w:color w:val="auto"/>
                <w:kern w:val="0"/>
                <w:sz w:val="18"/>
                <w:szCs w:val="18"/>
              </w:rPr>
            </w:pPr>
            <w:r>
              <w:rPr>
                <w:rFonts w:hint="eastAsia" w:ascii="Times New Roman" w:hAnsi="Times New Roman" w:eastAsia="宋体" w:cs="Times New Roman"/>
                <w:color w:val="auto"/>
                <w:kern w:val="0"/>
                <w:sz w:val="18"/>
                <w:szCs w:val="18"/>
                <w:lang w:val="en-US" w:eastAsia="zh-CN"/>
              </w:rPr>
              <w:t>新建</w:t>
            </w:r>
          </w:p>
        </w:tc>
        <w:tc>
          <w:tcPr>
            <w:tcW w:w="1126" w:type="dxa"/>
            <w:shd w:val="clear" w:color="auto" w:fill="auto"/>
            <w:vAlign w:val="center"/>
          </w:tcPr>
          <w:p w14:paraId="7774B405">
            <w:pPr>
              <w:widowControl/>
              <w:spacing w:line="240" w:lineRule="exact"/>
              <w:jc w:val="center"/>
              <w:textAlignment w:val="center"/>
              <w:rPr>
                <w:rFonts w:hint="default" w:ascii="Times New Roman" w:hAnsi="Times New Roman" w:eastAsia="宋体" w:cs="Times New Roman"/>
                <w:color w:val="auto"/>
                <w:kern w:val="0"/>
                <w:sz w:val="18"/>
                <w:szCs w:val="18"/>
              </w:rPr>
            </w:pPr>
            <w:r>
              <w:rPr>
                <w:rFonts w:hint="eastAsia" w:eastAsia="宋体" w:cs="Times New Roman"/>
                <w:color w:val="auto"/>
                <w:kern w:val="0"/>
                <w:sz w:val="18"/>
                <w:szCs w:val="18"/>
                <w:lang w:val="en-US" w:eastAsia="zh-CN"/>
              </w:rPr>
              <w:t>高新</w:t>
            </w:r>
            <w:r>
              <w:rPr>
                <w:rFonts w:hint="eastAsia" w:ascii="Times New Roman" w:hAnsi="Times New Roman" w:eastAsia="宋体" w:cs="Times New Roman"/>
                <w:color w:val="auto"/>
                <w:kern w:val="0"/>
                <w:sz w:val="18"/>
                <w:szCs w:val="18"/>
                <w:lang w:val="en-US" w:eastAsia="zh-CN"/>
              </w:rPr>
              <w:t>区柏庐城市管理办事处</w:t>
            </w:r>
          </w:p>
        </w:tc>
        <w:tc>
          <w:tcPr>
            <w:tcW w:w="707" w:type="dxa"/>
            <w:shd w:val="clear" w:color="auto" w:fill="auto"/>
            <w:vAlign w:val="center"/>
          </w:tcPr>
          <w:p w14:paraId="367375B9">
            <w:pPr>
              <w:widowControl/>
              <w:spacing w:line="240" w:lineRule="exact"/>
              <w:jc w:val="center"/>
              <w:textAlignment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1597</w:t>
            </w:r>
          </w:p>
        </w:tc>
        <w:tc>
          <w:tcPr>
            <w:tcW w:w="624" w:type="dxa"/>
            <w:shd w:val="clear" w:color="auto" w:fill="auto"/>
            <w:vAlign w:val="center"/>
          </w:tcPr>
          <w:p w14:paraId="02EED2C0">
            <w:pPr>
              <w:widowControl/>
              <w:spacing w:line="240" w:lineRule="exact"/>
              <w:jc w:val="center"/>
              <w:textAlignment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2025</w:t>
            </w:r>
          </w:p>
        </w:tc>
        <w:tc>
          <w:tcPr>
            <w:tcW w:w="624" w:type="dxa"/>
            <w:shd w:val="clear" w:color="auto" w:fill="auto"/>
            <w:vAlign w:val="center"/>
          </w:tcPr>
          <w:p w14:paraId="775662EF">
            <w:pPr>
              <w:widowControl/>
              <w:spacing w:line="240" w:lineRule="exact"/>
              <w:jc w:val="center"/>
              <w:textAlignment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2025</w:t>
            </w:r>
          </w:p>
        </w:tc>
        <w:tc>
          <w:tcPr>
            <w:tcW w:w="831" w:type="dxa"/>
            <w:shd w:val="clear" w:color="auto" w:fill="auto"/>
            <w:vAlign w:val="center"/>
          </w:tcPr>
          <w:p w14:paraId="402C4C57">
            <w:pPr>
              <w:widowControl/>
              <w:spacing w:line="240" w:lineRule="exact"/>
              <w:jc w:val="center"/>
              <w:textAlignment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400</w:t>
            </w:r>
          </w:p>
        </w:tc>
        <w:tc>
          <w:tcPr>
            <w:tcW w:w="2654" w:type="dxa"/>
            <w:shd w:val="clear" w:color="auto" w:fill="auto"/>
            <w:vAlign w:val="center"/>
          </w:tcPr>
          <w:p w14:paraId="311BED0F">
            <w:pPr>
              <w:widowControl/>
              <w:spacing w:line="240" w:lineRule="exact"/>
              <w:jc w:val="both"/>
              <w:textAlignment w:val="center"/>
              <w:rPr>
                <w:rFonts w:hint="default" w:ascii="Times New Roman" w:hAnsi="Times New Roman" w:eastAsia="宋体" w:cs="Times New Roman"/>
                <w:color w:val="auto"/>
                <w:kern w:val="0"/>
                <w:sz w:val="18"/>
                <w:szCs w:val="18"/>
              </w:rPr>
            </w:pPr>
            <w:r>
              <w:rPr>
                <w:rFonts w:hint="eastAsia" w:ascii="Times New Roman" w:hAnsi="Times New Roman" w:eastAsia="宋体" w:cs="Times New Roman"/>
                <w:color w:val="auto"/>
                <w:kern w:val="0"/>
                <w:sz w:val="18"/>
                <w:szCs w:val="18"/>
                <w:lang w:val="en-US" w:eastAsia="zh-CN"/>
              </w:rPr>
              <w:t>设置教学室、阅读区、观影区、文体健身活动室等。</w:t>
            </w:r>
          </w:p>
        </w:tc>
        <w:tc>
          <w:tcPr>
            <w:tcW w:w="562" w:type="dxa"/>
            <w:shd w:val="clear" w:color="auto" w:fill="auto"/>
            <w:vAlign w:val="center"/>
          </w:tcPr>
          <w:p w14:paraId="277DACE8">
            <w:pPr>
              <w:widowControl/>
              <w:spacing w:line="240" w:lineRule="exact"/>
              <w:jc w:val="center"/>
              <w:textAlignment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34</w:t>
            </w:r>
          </w:p>
        </w:tc>
        <w:tc>
          <w:tcPr>
            <w:tcW w:w="684" w:type="dxa"/>
            <w:shd w:val="clear" w:color="auto" w:fill="auto"/>
            <w:vAlign w:val="center"/>
          </w:tcPr>
          <w:p w14:paraId="6A286A58">
            <w:pPr>
              <w:widowControl/>
              <w:spacing w:line="240" w:lineRule="exact"/>
              <w:jc w:val="center"/>
              <w:textAlignment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20000</w:t>
            </w:r>
          </w:p>
        </w:tc>
        <w:tc>
          <w:tcPr>
            <w:tcW w:w="966" w:type="dxa"/>
            <w:shd w:val="clear" w:color="auto" w:fill="auto"/>
            <w:vAlign w:val="center"/>
          </w:tcPr>
          <w:p w14:paraId="54DFC820">
            <w:pPr>
              <w:widowControl/>
              <w:spacing w:line="240" w:lineRule="exact"/>
              <w:jc w:val="center"/>
              <w:textAlignment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1597</w:t>
            </w:r>
          </w:p>
        </w:tc>
        <w:tc>
          <w:tcPr>
            <w:tcW w:w="684" w:type="dxa"/>
            <w:shd w:val="clear" w:color="auto" w:fill="auto"/>
            <w:vAlign w:val="center"/>
          </w:tcPr>
          <w:p w14:paraId="554E2587">
            <w:pPr>
              <w:widowControl/>
              <w:spacing w:line="240" w:lineRule="exact"/>
              <w:jc w:val="center"/>
              <w:textAlignment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0</w:t>
            </w:r>
          </w:p>
        </w:tc>
        <w:tc>
          <w:tcPr>
            <w:tcW w:w="692" w:type="dxa"/>
            <w:shd w:val="clear" w:color="auto" w:fill="auto"/>
            <w:vAlign w:val="center"/>
          </w:tcPr>
          <w:p w14:paraId="1E0F5A25">
            <w:pPr>
              <w:widowControl/>
              <w:spacing w:line="240" w:lineRule="exact"/>
              <w:jc w:val="center"/>
              <w:textAlignment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0</w:t>
            </w:r>
          </w:p>
        </w:tc>
        <w:tc>
          <w:tcPr>
            <w:tcW w:w="623" w:type="dxa"/>
            <w:shd w:val="clear" w:color="auto" w:fill="auto"/>
            <w:vAlign w:val="center"/>
          </w:tcPr>
          <w:p w14:paraId="32F97763">
            <w:pPr>
              <w:widowControl/>
              <w:spacing w:line="240" w:lineRule="exact"/>
              <w:jc w:val="center"/>
              <w:textAlignment w:val="center"/>
              <w:rPr>
                <w:rFonts w:hint="default" w:ascii="Times New Roman" w:hAnsi="Times New Roman" w:eastAsia="宋体" w:cs="Times New Roman"/>
                <w:color w:val="auto"/>
                <w:kern w:val="0"/>
                <w:sz w:val="18"/>
                <w:szCs w:val="18"/>
              </w:rPr>
            </w:pPr>
            <w:r>
              <w:rPr>
                <w:rFonts w:hint="eastAsia" w:ascii="Times New Roman" w:hAnsi="Times New Roman" w:eastAsia="宋体" w:cs="Times New Roman"/>
                <w:color w:val="auto"/>
                <w:kern w:val="0"/>
                <w:sz w:val="18"/>
                <w:szCs w:val="18"/>
                <w:lang w:val="en-US" w:eastAsia="zh-CN"/>
              </w:rPr>
              <w:t>是</w:t>
            </w:r>
          </w:p>
        </w:tc>
        <w:tc>
          <w:tcPr>
            <w:tcW w:w="1673" w:type="dxa"/>
            <w:shd w:val="clear" w:color="auto" w:fill="auto"/>
            <w:vAlign w:val="center"/>
          </w:tcPr>
          <w:p w14:paraId="04A7534E">
            <w:pPr>
              <w:widowControl/>
              <w:spacing w:line="240" w:lineRule="exact"/>
              <w:jc w:val="both"/>
              <w:textAlignment w:val="center"/>
              <w:rPr>
                <w:rFonts w:hint="default" w:ascii="Times New Roman" w:hAnsi="Times New Roman" w:eastAsia="宋体" w:cs="Times New Roman"/>
                <w:color w:val="auto"/>
                <w:kern w:val="0"/>
                <w:sz w:val="18"/>
                <w:szCs w:val="18"/>
                <w:lang w:val="en-US"/>
              </w:rPr>
            </w:pPr>
            <w:r>
              <w:rPr>
                <w:rFonts w:hint="eastAsia" w:ascii="Times New Roman" w:hAnsi="Times New Roman" w:eastAsia="宋体" w:cs="Times New Roman"/>
                <w:color w:val="auto"/>
                <w:kern w:val="0"/>
                <w:sz w:val="18"/>
                <w:szCs w:val="18"/>
                <w:lang w:val="en-US" w:eastAsia="zh-CN"/>
              </w:rPr>
              <w:t>老年教学、健身活动</w:t>
            </w:r>
            <w:r>
              <w:rPr>
                <w:rFonts w:hint="eastAsia" w:eastAsia="宋体" w:cs="Times New Roman"/>
                <w:color w:val="auto"/>
                <w:kern w:val="0"/>
                <w:sz w:val="18"/>
                <w:szCs w:val="18"/>
                <w:lang w:val="en-US" w:eastAsia="zh-CN"/>
              </w:rPr>
              <w:t>、其他</w:t>
            </w:r>
          </w:p>
        </w:tc>
      </w:tr>
      <w:tr w14:paraId="06547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435" w:type="dxa"/>
            <w:shd w:val="clear" w:color="auto" w:fill="auto"/>
            <w:vAlign w:val="center"/>
          </w:tcPr>
          <w:p w14:paraId="3E846B7C">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13</w:t>
            </w:r>
          </w:p>
        </w:tc>
        <w:tc>
          <w:tcPr>
            <w:tcW w:w="1691" w:type="dxa"/>
            <w:shd w:val="clear" w:color="auto" w:fill="auto"/>
            <w:vAlign w:val="center"/>
          </w:tcPr>
          <w:p w14:paraId="135DC664">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花桥经济开发区花桥社区嵌入式服务综合体</w:t>
            </w:r>
          </w:p>
          <w:p w14:paraId="6E799276">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（社区服务中心）</w:t>
            </w:r>
          </w:p>
        </w:tc>
        <w:tc>
          <w:tcPr>
            <w:tcW w:w="623" w:type="dxa"/>
            <w:shd w:val="clear" w:color="auto" w:fill="auto"/>
            <w:vAlign w:val="center"/>
          </w:tcPr>
          <w:p w14:paraId="3EA2BBF3">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改</w:t>
            </w:r>
          </w:p>
          <w:p w14:paraId="3AC38A8C">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扩建</w:t>
            </w:r>
          </w:p>
        </w:tc>
        <w:tc>
          <w:tcPr>
            <w:tcW w:w="1126" w:type="dxa"/>
            <w:shd w:val="clear" w:color="auto" w:fill="auto"/>
            <w:vAlign w:val="center"/>
          </w:tcPr>
          <w:p w14:paraId="4C291840">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花桥开发区花桥社区</w:t>
            </w:r>
          </w:p>
        </w:tc>
        <w:tc>
          <w:tcPr>
            <w:tcW w:w="707" w:type="dxa"/>
            <w:shd w:val="clear" w:color="auto" w:fill="auto"/>
            <w:vAlign w:val="center"/>
          </w:tcPr>
          <w:p w14:paraId="25625764">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700</w:t>
            </w:r>
          </w:p>
        </w:tc>
        <w:tc>
          <w:tcPr>
            <w:tcW w:w="624" w:type="dxa"/>
            <w:shd w:val="clear" w:color="auto" w:fill="auto"/>
            <w:vAlign w:val="center"/>
          </w:tcPr>
          <w:p w14:paraId="71C74B38">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2024</w:t>
            </w:r>
          </w:p>
        </w:tc>
        <w:tc>
          <w:tcPr>
            <w:tcW w:w="624" w:type="dxa"/>
            <w:shd w:val="clear" w:color="auto" w:fill="auto"/>
            <w:vAlign w:val="center"/>
          </w:tcPr>
          <w:p w14:paraId="5F87F9B5">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2025</w:t>
            </w:r>
          </w:p>
        </w:tc>
        <w:tc>
          <w:tcPr>
            <w:tcW w:w="831" w:type="dxa"/>
            <w:shd w:val="clear" w:color="auto" w:fill="auto"/>
            <w:vAlign w:val="center"/>
          </w:tcPr>
          <w:p w14:paraId="078768EE">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150</w:t>
            </w:r>
          </w:p>
        </w:tc>
        <w:tc>
          <w:tcPr>
            <w:tcW w:w="2654" w:type="dxa"/>
            <w:shd w:val="clear" w:color="auto" w:fill="auto"/>
            <w:vAlign w:val="center"/>
          </w:tcPr>
          <w:p w14:paraId="65C80A4F">
            <w:pPr>
              <w:widowControl/>
              <w:spacing w:line="240" w:lineRule="exac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建设集养老、助餐、健康诊疗、体育健身、文化休闲、儿童游憩等于一体的服务综合体。</w:t>
            </w:r>
          </w:p>
        </w:tc>
        <w:tc>
          <w:tcPr>
            <w:tcW w:w="562" w:type="dxa"/>
            <w:shd w:val="clear" w:color="auto" w:fill="auto"/>
            <w:vAlign w:val="center"/>
          </w:tcPr>
          <w:p w14:paraId="6D8B57A5">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w:t>
            </w:r>
          </w:p>
        </w:tc>
        <w:tc>
          <w:tcPr>
            <w:tcW w:w="684" w:type="dxa"/>
            <w:shd w:val="clear" w:color="auto" w:fill="auto"/>
            <w:vAlign w:val="center"/>
          </w:tcPr>
          <w:p w14:paraId="591560DC">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13969</w:t>
            </w:r>
          </w:p>
        </w:tc>
        <w:tc>
          <w:tcPr>
            <w:tcW w:w="966" w:type="dxa"/>
            <w:shd w:val="clear" w:color="auto" w:fill="auto"/>
            <w:vAlign w:val="center"/>
          </w:tcPr>
          <w:p w14:paraId="683B9E12">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700</w:t>
            </w:r>
          </w:p>
        </w:tc>
        <w:tc>
          <w:tcPr>
            <w:tcW w:w="684" w:type="dxa"/>
            <w:shd w:val="clear" w:color="auto" w:fill="auto"/>
            <w:vAlign w:val="center"/>
          </w:tcPr>
          <w:p w14:paraId="48E98CF2">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0</w:t>
            </w:r>
          </w:p>
        </w:tc>
        <w:tc>
          <w:tcPr>
            <w:tcW w:w="692" w:type="dxa"/>
            <w:shd w:val="clear" w:color="auto" w:fill="auto"/>
            <w:vAlign w:val="center"/>
          </w:tcPr>
          <w:p w14:paraId="4C2DA3C3">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0</w:t>
            </w:r>
          </w:p>
        </w:tc>
        <w:tc>
          <w:tcPr>
            <w:tcW w:w="623" w:type="dxa"/>
            <w:shd w:val="clear" w:color="auto" w:fill="auto"/>
            <w:vAlign w:val="center"/>
          </w:tcPr>
          <w:p w14:paraId="62A80F26">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是</w:t>
            </w:r>
          </w:p>
        </w:tc>
        <w:tc>
          <w:tcPr>
            <w:tcW w:w="1673" w:type="dxa"/>
            <w:shd w:val="clear" w:color="auto" w:fill="auto"/>
            <w:vAlign w:val="center"/>
          </w:tcPr>
          <w:p w14:paraId="62C34C66">
            <w:pPr>
              <w:widowControl/>
              <w:spacing w:line="240" w:lineRule="exac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养老、社区、健康服务、体育健身、文化休闲、儿童游憩、其他</w:t>
            </w:r>
          </w:p>
        </w:tc>
      </w:tr>
      <w:tr w14:paraId="12BFD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435" w:type="dxa"/>
            <w:shd w:val="clear" w:color="auto" w:fill="auto"/>
            <w:vAlign w:val="center"/>
          </w:tcPr>
          <w:p w14:paraId="153C4E21">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14</w:t>
            </w:r>
          </w:p>
        </w:tc>
        <w:tc>
          <w:tcPr>
            <w:tcW w:w="1691" w:type="dxa"/>
            <w:shd w:val="clear" w:color="auto" w:fill="auto"/>
            <w:vAlign w:val="center"/>
          </w:tcPr>
          <w:p w14:paraId="29AB8C38">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花桥经济开发区</w:t>
            </w:r>
          </w:p>
          <w:p w14:paraId="5A5228D7">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金城基社区</w:t>
            </w:r>
          </w:p>
          <w:p w14:paraId="0D0C0484">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嵌入式养老</w:t>
            </w:r>
          </w:p>
        </w:tc>
        <w:tc>
          <w:tcPr>
            <w:tcW w:w="623" w:type="dxa"/>
            <w:shd w:val="clear" w:color="auto" w:fill="auto"/>
            <w:vAlign w:val="center"/>
          </w:tcPr>
          <w:p w14:paraId="106DF7CA">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改建</w:t>
            </w:r>
          </w:p>
        </w:tc>
        <w:tc>
          <w:tcPr>
            <w:tcW w:w="1126" w:type="dxa"/>
            <w:shd w:val="clear" w:color="auto" w:fill="auto"/>
            <w:vAlign w:val="center"/>
          </w:tcPr>
          <w:p w14:paraId="6DAEF80E">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花桥开发区金城基社区</w:t>
            </w:r>
          </w:p>
        </w:tc>
        <w:tc>
          <w:tcPr>
            <w:tcW w:w="707" w:type="dxa"/>
            <w:shd w:val="clear" w:color="auto" w:fill="auto"/>
            <w:vAlign w:val="center"/>
          </w:tcPr>
          <w:p w14:paraId="34FE8E70">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815</w:t>
            </w:r>
          </w:p>
        </w:tc>
        <w:tc>
          <w:tcPr>
            <w:tcW w:w="624" w:type="dxa"/>
            <w:shd w:val="clear" w:color="auto" w:fill="auto"/>
            <w:vAlign w:val="center"/>
          </w:tcPr>
          <w:p w14:paraId="5E901F5E">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2025</w:t>
            </w:r>
          </w:p>
        </w:tc>
        <w:tc>
          <w:tcPr>
            <w:tcW w:w="624" w:type="dxa"/>
            <w:shd w:val="clear" w:color="auto" w:fill="auto"/>
            <w:vAlign w:val="center"/>
          </w:tcPr>
          <w:p w14:paraId="493431D4">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2025</w:t>
            </w:r>
          </w:p>
        </w:tc>
        <w:tc>
          <w:tcPr>
            <w:tcW w:w="831" w:type="dxa"/>
            <w:shd w:val="clear" w:color="auto" w:fill="auto"/>
            <w:vAlign w:val="center"/>
          </w:tcPr>
          <w:p w14:paraId="3A3D2E32">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150</w:t>
            </w:r>
          </w:p>
        </w:tc>
        <w:tc>
          <w:tcPr>
            <w:tcW w:w="2654" w:type="dxa"/>
            <w:shd w:val="clear" w:color="auto" w:fill="auto"/>
            <w:vAlign w:val="center"/>
          </w:tcPr>
          <w:p w14:paraId="211B2150">
            <w:pPr>
              <w:widowControl/>
              <w:spacing w:line="240" w:lineRule="exac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设置阅读区、餐饮区、观影区、心理咨询师、理发室、活动室、特色课堂、家庭医生工作室、全科诊室、药房等。</w:t>
            </w:r>
          </w:p>
        </w:tc>
        <w:tc>
          <w:tcPr>
            <w:tcW w:w="562" w:type="dxa"/>
            <w:shd w:val="clear" w:color="auto" w:fill="auto"/>
            <w:vAlign w:val="center"/>
          </w:tcPr>
          <w:p w14:paraId="6A229992">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w:t>
            </w:r>
          </w:p>
        </w:tc>
        <w:tc>
          <w:tcPr>
            <w:tcW w:w="684" w:type="dxa"/>
            <w:shd w:val="clear" w:color="auto" w:fill="auto"/>
            <w:vAlign w:val="center"/>
          </w:tcPr>
          <w:p w14:paraId="7D376C02">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11000</w:t>
            </w:r>
          </w:p>
        </w:tc>
        <w:tc>
          <w:tcPr>
            <w:tcW w:w="966" w:type="dxa"/>
            <w:shd w:val="clear" w:color="auto" w:fill="auto"/>
            <w:vAlign w:val="center"/>
          </w:tcPr>
          <w:p w14:paraId="767D3290">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815</w:t>
            </w:r>
          </w:p>
        </w:tc>
        <w:tc>
          <w:tcPr>
            <w:tcW w:w="684" w:type="dxa"/>
            <w:shd w:val="clear" w:color="auto" w:fill="auto"/>
            <w:vAlign w:val="center"/>
          </w:tcPr>
          <w:p w14:paraId="602D79DA">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0</w:t>
            </w:r>
          </w:p>
        </w:tc>
        <w:tc>
          <w:tcPr>
            <w:tcW w:w="692" w:type="dxa"/>
            <w:shd w:val="clear" w:color="auto" w:fill="auto"/>
            <w:vAlign w:val="center"/>
          </w:tcPr>
          <w:p w14:paraId="44C20BD4">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0</w:t>
            </w:r>
          </w:p>
        </w:tc>
        <w:tc>
          <w:tcPr>
            <w:tcW w:w="623" w:type="dxa"/>
            <w:shd w:val="clear" w:color="auto" w:fill="auto"/>
            <w:vAlign w:val="center"/>
          </w:tcPr>
          <w:p w14:paraId="643909C1">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否</w:t>
            </w:r>
          </w:p>
        </w:tc>
        <w:tc>
          <w:tcPr>
            <w:tcW w:w="1673" w:type="dxa"/>
            <w:shd w:val="clear" w:color="auto" w:fill="auto"/>
            <w:vAlign w:val="center"/>
          </w:tcPr>
          <w:p w14:paraId="2348F9B4">
            <w:pPr>
              <w:widowControl/>
              <w:spacing w:line="240" w:lineRule="exac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养老、社区、家政便民、健康服务、文化休闲</w:t>
            </w:r>
          </w:p>
        </w:tc>
      </w:tr>
      <w:tr w14:paraId="76569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435" w:type="dxa"/>
            <w:shd w:val="clear" w:color="auto" w:fill="auto"/>
            <w:vAlign w:val="center"/>
          </w:tcPr>
          <w:p w14:paraId="0E890D86">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15</w:t>
            </w:r>
          </w:p>
        </w:tc>
        <w:tc>
          <w:tcPr>
            <w:tcW w:w="1691" w:type="dxa"/>
            <w:shd w:val="clear" w:color="auto" w:fill="auto"/>
            <w:vAlign w:val="center"/>
          </w:tcPr>
          <w:p w14:paraId="486437B0">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张浦镇银和社区嵌入式服务综合体</w:t>
            </w:r>
          </w:p>
          <w:p w14:paraId="1728E3FA">
            <w:pPr>
              <w:widowControl/>
              <w:spacing w:line="240" w:lineRule="exact"/>
              <w:jc w:val="center"/>
              <w:textAlignment w:val="center"/>
              <w:rPr>
                <w:rStyle w:val="66"/>
                <w:rFonts w:hint="default" w:ascii="Times New Roman" w:hAnsi="Times New Roman" w:cs="Times New Roman"/>
                <w:color w:val="auto"/>
                <w:sz w:val="18"/>
                <w:szCs w:val="18"/>
                <w:highlight w:val="none"/>
              </w:rPr>
            </w:pPr>
            <w:r>
              <w:rPr>
                <w:rFonts w:hint="default" w:ascii="Times New Roman" w:hAnsi="Times New Roman" w:eastAsia="宋体" w:cs="Times New Roman"/>
                <w:color w:val="auto"/>
                <w:kern w:val="0"/>
                <w:sz w:val="18"/>
                <w:szCs w:val="18"/>
                <w:highlight w:val="none"/>
              </w:rPr>
              <w:t>（社区服务中心）</w:t>
            </w:r>
          </w:p>
        </w:tc>
        <w:tc>
          <w:tcPr>
            <w:tcW w:w="623" w:type="dxa"/>
            <w:shd w:val="clear" w:color="auto" w:fill="auto"/>
            <w:vAlign w:val="center"/>
          </w:tcPr>
          <w:p w14:paraId="0D06171E">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改</w:t>
            </w:r>
          </w:p>
          <w:p w14:paraId="701A4804">
            <w:pPr>
              <w:widowControl/>
              <w:spacing w:line="240" w:lineRule="exact"/>
              <w:jc w:val="center"/>
              <w:textAlignment w:val="center"/>
              <w:rPr>
                <w:rStyle w:val="66"/>
                <w:rFonts w:hint="default" w:ascii="Times New Roman" w:hAnsi="Times New Roman" w:cs="Times New Roman"/>
                <w:color w:val="auto"/>
                <w:sz w:val="18"/>
                <w:szCs w:val="18"/>
                <w:highlight w:val="none"/>
              </w:rPr>
            </w:pPr>
            <w:r>
              <w:rPr>
                <w:rFonts w:hint="default" w:ascii="Times New Roman" w:hAnsi="Times New Roman" w:eastAsia="宋体" w:cs="Times New Roman"/>
                <w:color w:val="auto"/>
                <w:kern w:val="0"/>
                <w:sz w:val="18"/>
                <w:szCs w:val="18"/>
                <w:highlight w:val="none"/>
              </w:rPr>
              <w:t>扩建</w:t>
            </w:r>
          </w:p>
        </w:tc>
        <w:tc>
          <w:tcPr>
            <w:tcW w:w="1126" w:type="dxa"/>
            <w:shd w:val="clear" w:color="auto" w:fill="auto"/>
            <w:vAlign w:val="center"/>
          </w:tcPr>
          <w:p w14:paraId="1EEE3FE5">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张浦镇</w:t>
            </w:r>
          </w:p>
          <w:p w14:paraId="038FF955">
            <w:pPr>
              <w:widowControl/>
              <w:spacing w:line="240" w:lineRule="exact"/>
              <w:jc w:val="center"/>
              <w:textAlignment w:val="center"/>
              <w:rPr>
                <w:rStyle w:val="66"/>
                <w:rFonts w:hint="default" w:ascii="Times New Roman" w:hAnsi="Times New Roman" w:cs="Times New Roman"/>
                <w:color w:val="auto"/>
                <w:sz w:val="18"/>
                <w:szCs w:val="18"/>
                <w:highlight w:val="none"/>
              </w:rPr>
            </w:pPr>
            <w:r>
              <w:rPr>
                <w:rFonts w:hint="default" w:ascii="Times New Roman" w:hAnsi="Times New Roman" w:eastAsia="宋体" w:cs="Times New Roman"/>
                <w:color w:val="auto"/>
                <w:kern w:val="0"/>
                <w:sz w:val="18"/>
                <w:szCs w:val="18"/>
                <w:highlight w:val="none"/>
              </w:rPr>
              <w:t>银和社区</w:t>
            </w:r>
          </w:p>
        </w:tc>
        <w:tc>
          <w:tcPr>
            <w:tcW w:w="707" w:type="dxa"/>
            <w:shd w:val="clear" w:color="auto" w:fill="auto"/>
            <w:vAlign w:val="center"/>
          </w:tcPr>
          <w:p w14:paraId="7206CE76">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2500</w:t>
            </w:r>
          </w:p>
        </w:tc>
        <w:tc>
          <w:tcPr>
            <w:tcW w:w="624" w:type="dxa"/>
            <w:shd w:val="clear" w:color="auto" w:fill="auto"/>
            <w:vAlign w:val="center"/>
          </w:tcPr>
          <w:p w14:paraId="0FF9AE14">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2024</w:t>
            </w:r>
          </w:p>
        </w:tc>
        <w:tc>
          <w:tcPr>
            <w:tcW w:w="624" w:type="dxa"/>
            <w:shd w:val="clear" w:color="auto" w:fill="auto"/>
            <w:vAlign w:val="center"/>
          </w:tcPr>
          <w:p w14:paraId="2502F3CB">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2025</w:t>
            </w:r>
          </w:p>
        </w:tc>
        <w:tc>
          <w:tcPr>
            <w:tcW w:w="831" w:type="dxa"/>
            <w:shd w:val="clear" w:color="auto" w:fill="auto"/>
            <w:vAlign w:val="center"/>
          </w:tcPr>
          <w:p w14:paraId="66793D84">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285</w:t>
            </w:r>
          </w:p>
        </w:tc>
        <w:tc>
          <w:tcPr>
            <w:tcW w:w="2654" w:type="dxa"/>
            <w:shd w:val="clear" w:color="auto" w:fill="auto"/>
            <w:vAlign w:val="center"/>
          </w:tcPr>
          <w:p w14:paraId="489478C0">
            <w:pPr>
              <w:widowControl/>
              <w:spacing w:line="240" w:lineRule="exact"/>
              <w:textAlignment w:val="center"/>
              <w:rPr>
                <w:rStyle w:val="66"/>
                <w:rFonts w:hint="default" w:ascii="Times New Roman" w:hAnsi="Times New Roman" w:cs="Times New Roman"/>
                <w:color w:val="auto"/>
                <w:sz w:val="18"/>
                <w:szCs w:val="18"/>
                <w:highlight w:val="none"/>
              </w:rPr>
            </w:pPr>
            <w:r>
              <w:rPr>
                <w:rFonts w:hint="default" w:ascii="Times New Roman" w:hAnsi="Times New Roman" w:eastAsia="宋体" w:cs="Times New Roman"/>
                <w:color w:val="auto"/>
                <w:kern w:val="0"/>
                <w:sz w:val="18"/>
                <w:szCs w:val="18"/>
                <w:highlight w:val="none"/>
              </w:rPr>
              <w:t>建设集养老、家政便民、文化休闲、儿童游憩等功能于一体的社区综合服务中心。</w:t>
            </w:r>
          </w:p>
        </w:tc>
        <w:tc>
          <w:tcPr>
            <w:tcW w:w="562" w:type="dxa"/>
            <w:shd w:val="clear" w:color="auto" w:fill="auto"/>
            <w:vAlign w:val="center"/>
          </w:tcPr>
          <w:p w14:paraId="6A0A4139">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w:t>
            </w:r>
          </w:p>
        </w:tc>
        <w:tc>
          <w:tcPr>
            <w:tcW w:w="684" w:type="dxa"/>
            <w:shd w:val="clear" w:color="auto" w:fill="auto"/>
            <w:vAlign w:val="center"/>
          </w:tcPr>
          <w:p w14:paraId="13E25DF8">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12388</w:t>
            </w:r>
          </w:p>
        </w:tc>
        <w:tc>
          <w:tcPr>
            <w:tcW w:w="966" w:type="dxa"/>
            <w:shd w:val="clear" w:color="auto" w:fill="auto"/>
            <w:vAlign w:val="center"/>
          </w:tcPr>
          <w:p w14:paraId="29D355F6">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2500</w:t>
            </w:r>
          </w:p>
        </w:tc>
        <w:tc>
          <w:tcPr>
            <w:tcW w:w="684" w:type="dxa"/>
            <w:shd w:val="clear" w:color="auto" w:fill="auto"/>
            <w:vAlign w:val="center"/>
          </w:tcPr>
          <w:p w14:paraId="41592E32">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0</w:t>
            </w:r>
          </w:p>
        </w:tc>
        <w:tc>
          <w:tcPr>
            <w:tcW w:w="692" w:type="dxa"/>
            <w:shd w:val="clear" w:color="auto" w:fill="auto"/>
            <w:vAlign w:val="center"/>
          </w:tcPr>
          <w:p w14:paraId="652DB446">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0</w:t>
            </w:r>
          </w:p>
        </w:tc>
        <w:tc>
          <w:tcPr>
            <w:tcW w:w="623" w:type="dxa"/>
            <w:shd w:val="clear" w:color="auto" w:fill="auto"/>
            <w:vAlign w:val="center"/>
          </w:tcPr>
          <w:p w14:paraId="36976C9E">
            <w:pPr>
              <w:widowControl/>
              <w:spacing w:line="240" w:lineRule="exact"/>
              <w:jc w:val="center"/>
              <w:textAlignment w:val="center"/>
              <w:rPr>
                <w:rStyle w:val="66"/>
                <w:rFonts w:hint="default" w:ascii="Times New Roman" w:hAnsi="Times New Roman" w:cs="Times New Roman"/>
                <w:color w:val="auto"/>
                <w:sz w:val="18"/>
                <w:szCs w:val="18"/>
                <w:highlight w:val="none"/>
              </w:rPr>
            </w:pPr>
            <w:r>
              <w:rPr>
                <w:rFonts w:hint="default" w:ascii="Times New Roman" w:hAnsi="Times New Roman" w:eastAsia="宋体" w:cs="Times New Roman"/>
                <w:color w:val="auto"/>
                <w:kern w:val="0"/>
                <w:sz w:val="18"/>
                <w:szCs w:val="18"/>
                <w:highlight w:val="none"/>
              </w:rPr>
              <w:t>否</w:t>
            </w:r>
          </w:p>
        </w:tc>
        <w:tc>
          <w:tcPr>
            <w:tcW w:w="1673" w:type="dxa"/>
            <w:shd w:val="clear" w:color="auto" w:fill="auto"/>
            <w:vAlign w:val="center"/>
          </w:tcPr>
          <w:p w14:paraId="19C3F656">
            <w:pPr>
              <w:widowControl/>
              <w:spacing w:line="240" w:lineRule="exact"/>
              <w:textAlignment w:val="center"/>
              <w:rPr>
                <w:rStyle w:val="66"/>
                <w:rFonts w:hint="default" w:ascii="Times New Roman" w:hAnsi="Times New Roman" w:cs="Times New Roman"/>
                <w:color w:val="auto"/>
                <w:sz w:val="18"/>
                <w:szCs w:val="18"/>
                <w:highlight w:val="none"/>
              </w:rPr>
            </w:pPr>
            <w:r>
              <w:rPr>
                <w:rFonts w:hint="default" w:ascii="Times New Roman" w:hAnsi="Times New Roman" w:eastAsia="宋体" w:cs="Times New Roman"/>
                <w:color w:val="auto"/>
                <w:kern w:val="0"/>
                <w:sz w:val="18"/>
                <w:szCs w:val="18"/>
                <w:highlight w:val="none"/>
              </w:rPr>
              <w:t>养老、家政便民、文化休闲、儿童游憩（儿童托管）、其他</w:t>
            </w:r>
          </w:p>
        </w:tc>
      </w:tr>
      <w:tr w14:paraId="5403D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435" w:type="dxa"/>
            <w:shd w:val="clear" w:color="auto" w:fill="auto"/>
            <w:vAlign w:val="center"/>
          </w:tcPr>
          <w:p w14:paraId="0B517F2B">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16</w:t>
            </w:r>
          </w:p>
        </w:tc>
        <w:tc>
          <w:tcPr>
            <w:tcW w:w="1691" w:type="dxa"/>
            <w:shd w:val="clear" w:color="auto" w:fill="auto"/>
            <w:vAlign w:val="center"/>
          </w:tcPr>
          <w:p w14:paraId="1E741522">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周市镇丽德社区</w:t>
            </w:r>
          </w:p>
          <w:p w14:paraId="54700C8D">
            <w:pPr>
              <w:widowControl/>
              <w:spacing w:line="240" w:lineRule="exact"/>
              <w:jc w:val="center"/>
              <w:textAlignment w:val="center"/>
              <w:rPr>
                <w:rStyle w:val="66"/>
                <w:rFonts w:hint="default" w:ascii="Times New Roman" w:hAnsi="Times New Roman" w:cs="Times New Roman"/>
                <w:color w:val="auto"/>
                <w:sz w:val="18"/>
                <w:szCs w:val="18"/>
                <w:highlight w:val="none"/>
              </w:rPr>
            </w:pPr>
            <w:r>
              <w:rPr>
                <w:rFonts w:hint="default" w:ascii="Times New Roman" w:hAnsi="Times New Roman" w:eastAsia="宋体" w:cs="Times New Roman"/>
                <w:color w:val="auto"/>
                <w:kern w:val="0"/>
                <w:sz w:val="18"/>
                <w:szCs w:val="18"/>
                <w:highlight w:val="none"/>
              </w:rPr>
              <w:t>嵌入式养老</w:t>
            </w:r>
          </w:p>
        </w:tc>
        <w:tc>
          <w:tcPr>
            <w:tcW w:w="623" w:type="dxa"/>
            <w:shd w:val="clear" w:color="auto" w:fill="auto"/>
            <w:vAlign w:val="center"/>
          </w:tcPr>
          <w:p w14:paraId="0997F345">
            <w:pPr>
              <w:widowControl/>
              <w:spacing w:line="240" w:lineRule="exact"/>
              <w:jc w:val="center"/>
              <w:textAlignment w:val="center"/>
              <w:rPr>
                <w:rStyle w:val="66"/>
                <w:rFonts w:hint="default" w:ascii="Times New Roman" w:hAnsi="Times New Roman" w:cs="Times New Roman"/>
                <w:color w:val="auto"/>
                <w:sz w:val="18"/>
                <w:szCs w:val="18"/>
                <w:highlight w:val="none"/>
              </w:rPr>
            </w:pPr>
            <w:r>
              <w:rPr>
                <w:rFonts w:hint="default" w:ascii="Times New Roman" w:hAnsi="Times New Roman" w:eastAsia="宋体" w:cs="Times New Roman"/>
                <w:color w:val="auto"/>
                <w:kern w:val="0"/>
                <w:sz w:val="18"/>
                <w:szCs w:val="18"/>
                <w:highlight w:val="none"/>
              </w:rPr>
              <w:t>改建</w:t>
            </w:r>
          </w:p>
        </w:tc>
        <w:tc>
          <w:tcPr>
            <w:tcW w:w="1126" w:type="dxa"/>
            <w:shd w:val="clear" w:color="auto" w:fill="auto"/>
            <w:vAlign w:val="center"/>
          </w:tcPr>
          <w:p w14:paraId="22D68A0E">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周市镇</w:t>
            </w:r>
          </w:p>
          <w:p w14:paraId="14EC21CD">
            <w:pPr>
              <w:widowControl/>
              <w:spacing w:line="240" w:lineRule="exact"/>
              <w:jc w:val="center"/>
              <w:textAlignment w:val="center"/>
              <w:rPr>
                <w:rStyle w:val="66"/>
                <w:rFonts w:hint="default" w:ascii="Times New Roman" w:hAnsi="Times New Roman" w:cs="Times New Roman"/>
                <w:color w:val="auto"/>
                <w:sz w:val="18"/>
                <w:szCs w:val="18"/>
                <w:highlight w:val="none"/>
              </w:rPr>
            </w:pPr>
            <w:r>
              <w:rPr>
                <w:rFonts w:hint="default" w:ascii="Times New Roman" w:hAnsi="Times New Roman" w:eastAsia="宋体" w:cs="Times New Roman"/>
                <w:color w:val="auto"/>
                <w:kern w:val="0"/>
                <w:sz w:val="18"/>
                <w:szCs w:val="18"/>
                <w:highlight w:val="none"/>
              </w:rPr>
              <w:t>丽德社区</w:t>
            </w:r>
          </w:p>
        </w:tc>
        <w:tc>
          <w:tcPr>
            <w:tcW w:w="707" w:type="dxa"/>
            <w:shd w:val="clear" w:color="auto" w:fill="auto"/>
            <w:vAlign w:val="center"/>
          </w:tcPr>
          <w:p w14:paraId="6A46C763">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700</w:t>
            </w:r>
          </w:p>
        </w:tc>
        <w:tc>
          <w:tcPr>
            <w:tcW w:w="624" w:type="dxa"/>
            <w:shd w:val="clear" w:color="auto" w:fill="auto"/>
            <w:vAlign w:val="center"/>
          </w:tcPr>
          <w:p w14:paraId="28311CD5">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2025</w:t>
            </w:r>
          </w:p>
        </w:tc>
        <w:tc>
          <w:tcPr>
            <w:tcW w:w="624" w:type="dxa"/>
            <w:shd w:val="clear" w:color="auto" w:fill="auto"/>
            <w:vAlign w:val="center"/>
          </w:tcPr>
          <w:p w14:paraId="792A6018">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2025</w:t>
            </w:r>
          </w:p>
        </w:tc>
        <w:tc>
          <w:tcPr>
            <w:tcW w:w="831" w:type="dxa"/>
            <w:shd w:val="clear" w:color="auto" w:fill="auto"/>
            <w:vAlign w:val="center"/>
          </w:tcPr>
          <w:p w14:paraId="52C923ED">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70</w:t>
            </w:r>
          </w:p>
        </w:tc>
        <w:tc>
          <w:tcPr>
            <w:tcW w:w="2654" w:type="dxa"/>
            <w:shd w:val="clear" w:color="auto" w:fill="auto"/>
            <w:vAlign w:val="center"/>
          </w:tcPr>
          <w:p w14:paraId="3D32C169">
            <w:pPr>
              <w:widowControl/>
              <w:spacing w:line="240" w:lineRule="exact"/>
              <w:textAlignment w:val="center"/>
              <w:rPr>
                <w:rStyle w:val="66"/>
                <w:rFonts w:hint="default" w:ascii="Times New Roman" w:hAnsi="Times New Roman" w:cs="Times New Roman"/>
                <w:color w:val="auto"/>
                <w:sz w:val="18"/>
                <w:szCs w:val="18"/>
                <w:highlight w:val="none"/>
              </w:rPr>
            </w:pPr>
            <w:r>
              <w:rPr>
                <w:rFonts w:hint="default" w:ascii="Times New Roman" w:hAnsi="Times New Roman" w:eastAsia="宋体" w:cs="Times New Roman"/>
                <w:color w:val="auto"/>
                <w:kern w:val="0"/>
                <w:sz w:val="18"/>
                <w:szCs w:val="18"/>
                <w:highlight w:val="none"/>
              </w:rPr>
              <w:t>设置阅读区、餐饮区、观影区、活动室等。</w:t>
            </w:r>
          </w:p>
        </w:tc>
        <w:tc>
          <w:tcPr>
            <w:tcW w:w="562" w:type="dxa"/>
            <w:shd w:val="clear" w:color="auto" w:fill="auto"/>
            <w:vAlign w:val="center"/>
          </w:tcPr>
          <w:p w14:paraId="0A2C2D88">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w:t>
            </w:r>
          </w:p>
        </w:tc>
        <w:tc>
          <w:tcPr>
            <w:tcW w:w="684" w:type="dxa"/>
            <w:shd w:val="clear" w:color="auto" w:fill="auto"/>
            <w:vAlign w:val="center"/>
          </w:tcPr>
          <w:p w14:paraId="5503BDFC">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17800</w:t>
            </w:r>
          </w:p>
        </w:tc>
        <w:tc>
          <w:tcPr>
            <w:tcW w:w="966" w:type="dxa"/>
            <w:shd w:val="clear" w:color="auto" w:fill="auto"/>
            <w:vAlign w:val="center"/>
          </w:tcPr>
          <w:p w14:paraId="58F47501">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700</w:t>
            </w:r>
          </w:p>
        </w:tc>
        <w:tc>
          <w:tcPr>
            <w:tcW w:w="684" w:type="dxa"/>
            <w:shd w:val="clear" w:color="auto" w:fill="auto"/>
            <w:vAlign w:val="center"/>
          </w:tcPr>
          <w:p w14:paraId="4134EBA4">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0</w:t>
            </w:r>
          </w:p>
        </w:tc>
        <w:tc>
          <w:tcPr>
            <w:tcW w:w="692" w:type="dxa"/>
            <w:shd w:val="clear" w:color="auto" w:fill="auto"/>
            <w:vAlign w:val="center"/>
          </w:tcPr>
          <w:p w14:paraId="5B9012BD">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0</w:t>
            </w:r>
          </w:p>
        </w:tc>
        <w:tc>
          <w:tcPr>
            <w:tcW w:w="623" w:type="dxa"/>
            <w:shd w:val="clear" w:color="auto" w:fill="auto"/>
            <w:vAlign w:val="center"/>
          </w:tcPr>
          <w:p w14:paraId="7359E80D">
            <w:pPr>
              <w:widowControl/>
              <w:spacing w:line="240" w:lineRule="exact"/>
              <w:jc w:val="center"/>
              <w:textAlignment w:val="center"/>
              <w:rPr>
                <w:rStyle w:val="66"/>
                <w:rFonts w:hint="default" w:ascii="Times New Roman" w:hAnsi="Times New Roman" w:cs="Times New Roman"/>
                <w:color w:val="auto"/>
                <w:sz w:val="18"/>
                <w:szCs w:val="18"/>
                <w:highlight w:val="none"/>
              </w:rPr>
            </w:pPr>
            <w:r>
              <w:rPr>
                <w:rFonts w:hint="default" w:ascii="Times New Roman" w:hAnsi="Times New Roman" w:eastAsia="宋体" w:cs="Times New Roman"/>
                <w:color w:val="auto"/>
                <w:kern w:val="0"/>
                <w:sz w:val="18"/>
                <w:szCs w:val="18"/>
                <w:highlight w:val="none"/>
              </w:rPr>
              <w:t>否</w:t>
            </w:r>
          </w:p>
        </w:tc>
        <w:tc>
          <w:tcPr>
            <w:tcW w:w="1673" w:type="dxa"/>
            <w:shd w:val="clear" w:color="auto" w:fill="auto"/>
            <w:vAlign w:val="center"/>
          </w:tcPr>
          <w:p w14:paraId="43891A84">
            <w:pPr>
              <w:widowControl/>
              <w:spacing w:line="240" w:lineRule="exact"/>
              <w:textAlignment w:val="center"/>
              <w:rPr>
                <w:rStyle w:val="66"/>
                <w:rFonts w:hint="default" w:ascii="Times New Roman" w:hAnsi="Times New Roman" w:cs="Times New Roman"/>
                <w:color w:val="auto"/>
                <w:sz w:val="18"/>
                <w:szCs w:val="18"/>
                <w:highlight w:val="none"/>
              </w:rPr>
            </w:pPr>
            <w:r>
              <w:rPr>
                <w:rFonts w:hint="default" w:ascii="Times New Roman" w:hAnsi="Times New Roman" w:eastAsia="宋体" w:cs="Times New Roman"/>
                <w:color w:val="auto"/>
                <w:kern w:val="0"/>
                <w:sz w:val="18"/>
                <w:szCs w:val="18"/>
                <w:highlight w:val="none"/>
              </w:rPr>
              <w:t>养老、社区助餐、文化休闲</w:t>
            </w:r>
          </w:p>
        </w:tc>
      </w:tr>
      <w:tr w14:paraId="64E9E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435" w:type="dxa"/>
            <w:shd w:val="clear" w:color="auto" w:fill="auto"/>
            <w:vAlign w:val="center"/>
          </w:tcPr>
          <w:p w14:paraId="3404A13B">
            <w:pPr>
              <w:widowControl/>
              <w:spacing w:line="240" w:lineRule="exact"/>
              <w:jc w:val="center"/>
              <w:textAlignment w:val="center"/>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color w:val="auto"/>
                <w:sz w:val="18"/>
                <w:szCs w:val="18"/>
                <w:highlight w:val="none"/>
              </w:rPr>
              <w:t>17</w:t>
            </w:r>
          </w:p>
        </w:tc>
        <w:tc>
          <w:tcPr>
            <w:tcW w:w="1691" w:type="dxa"/>
            <w:shd w:val="clear" w:color="auto" w:fill="auto"/>
            <w:vAlign w:val="center"/>
          </w:tcPr>
          <w:p w14:paraId="2C0940EF">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周市镇白塔社区嵌入式服务综合体</w:t>
            </w:r>
          </w:p>
          <w:p w14:paraId="06934E1B">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（社区服务中心）</w:t>
            </w:r>
          </w:p>
        </w:tc>
        <w:tc>
          <w:tcPr>
            <w:tcW w:w="623" w:type="dxa"/>
            <w:shd w:val="clear" w:color="auto" w:fill="auto"/>
            <w:vAlign w:val="center"/>
          </w:tcPr>
          <w:p w14:paraId="32786F98">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新建</w:t>
            </w:r>
          </w:p>
        </w:tc>
        <w:tc>
          <w:tcPr>
            <w:tcW w:w="1126" w:type="dxa"/>
            <w:shd w:val="clear" w:color="auto" w:fill="auto"/>
            <w:vAlign w:val="center"/>
          </w:tcPr>
          <w:p w14:paraId="0EC0A7FA">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周市镇</w:t>
            </w:r>
          </w:p>
          <w:p w14:paraId="53B9CC9D">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白塔社区</w:t>
            </w:r>
          </w:p>
        </w:tc>
        <w:tc>
          <w:tcPr>
            <w:tcW w:w="707" w:type="dxa"/>
            <w:shd w:val="clear" w:color="auto" w:fill="auto"/>
            <w:vAlign w:val="center"/>
          </w:tcPr>
          <w:p w14:paraId="26146538">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350</w:t>
            </w:r>
          </w:p>
        </w:tc>
        <w:tc>
          <w:tcPr>
            <w:tcW w:w="624" w:type="dxa"/>
            <w:shd w:val="clear" w:color="auto" w:fill="auto"/>
            <w:vAlign w:val="center"/>
          </w:tcPr>
          <w:p w14:paraId="73358D89">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2025</w:t>
            </w:r>
          </w:p>
        </w:tc>
        <w:tc>
          <w:tcPr>
            <w:tcW w:w="624" w:type="dxa"/>
            <w:shd w:val="clear" w:color="auto" w:fill="auto"/>
            <w:vAlign w:val="center"/>
          </w:tcPr>
          <w:p w14:paraId="5D75B259">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2025</w:t>
            </w:r>
          </w:p>
        </w:tc>
        <w:tc>
          <w:tcPr>
            <w:tcW w:w="831" w:type="dxa"/>
            <w:shd w:val="clear" w:color="auto" w:fill="auto"/>
            <w:vAlign w:val="center"/>
          </w:tcPr>
          <w:p w14:paraId="1F155B38">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35</w:t>
            </w:r>
          </w:p>
        </w:tc>
        <w:tc>
          <w:tcPr>
            <w:tcW w:w="2654" w:type="dxa"/>
            <w:shd w:val="clear" w:color="auto" w:fill="auto"/>
            <w:vAlign w:val="center"/>
          </w:tcPr>
          <w:p w14:paraId="033A6554">
            <w:pPr>
              <w:widowControl/>
              <w:spacing w:line="240" w:lineRule="exac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建设集老年活动室、妇女儿童发展中心、运动、便民服务于一体的社区综合服务中心。</w:t>
            </w:r>
          </w:p>
        </w:tc>
        <w:tc>
          <w:tcPr>
            <w:tcW w:w="562" w:type="dxa"/>
            <w:shd w:val="clear" w:color="auto" w:fill="auto"/>
            <w:vAlign w:val="center"/>
          </w:tcPr>
          <w:p w14:paraId="2BA8E3CC">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1</w:t>
            </w:r>
          </w:p>
        </w:tc>
        <w:tc>
          <w:tcPr>
            <w:tcW w:w="684" w:type="dxa"/>
            <w:shd w:val="clear" w:color="auto" w:fill="auto"/>
            <w:vAlign w:val="center"/>
          </w:tcPr>
          <w:p w14:paraId="7C31F4C7">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8369</w:t>
            </w:r>
          </w:p>
        </w:tc>
        <w:tc>
          <w:tcPr>
            <w:tcW w:w="966" w:type="dxa"/>
            <w:shd w:val="clear" w:color="auto" w:fill="auto"/>
            <w:vAlign w:val="center"/>
          </w:tcPr>
          <w:p w14:paraId="6824F3E3">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350</w:t>
            </w:r>
          </w:p>
        </w:tc>
        <w:tc>
          <w:tcPr>
            <w:tcW w:w="684" w:type="dxa"/>
            <w:shd w:val="clear" w:color="auto" w:fill="auto"/>
            <w:vAlign w:val="center"/>
          </w:tcPr>
          <w:p w14:paraId="4160F4D9">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0</w:t>
            </w:r>
          </w:p>
        </w:tc>
        <w:tc>
          <w:tcPr>
            <w:tcW w:w="692" w:type="dxa"/>
            <w:shd w:val="clear" w:color="auto" w:fill="auto"/>
            <w:vAlign w:val="center"/>
          </w:tcPr>
          <w:p w14:paraId="494B0670">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0</w:t>
            </w:r>
          </w:p>
        </w:tc>
        <w:tc>
          <w:tcPr>
            <w:tcW w:w="623" w:type="dxa"/>
            <w:shd w:val="clear" w:color="auto" w:fill="auto"/>
            <w:vAlign w:val="center"/>
          </w:tcPr>
          <w:p w14:paraId="44411C2A">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否</w:t>
            </w:r>
          </w:p>
        </w:tc>
        <w:tc>
          <w:tcPr>
            <w:tcW w:w="1673" w:type="dxa"/>
            <w:shd w:val="clear" w:color="auto" w:fill="auto"/>
            <w:vAlign w:val="center"/>
          </w:tcPr>
          <w:p w14:paraId="0702B6A7">
            <w:pPr>
              <w:widowControl/>
              <w:spacing w:line="240" w:lineRule="exac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养老、家政便民、健康服务、体育健身、文化休闲、儿童游憩</w:t>
            </w:r>
          </w:p>
        </w:tc>
      </w:tr>
      <w:tr w14:paraId="1BAEF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35" w:type="dxa"/>
            <w:shd w:val="clear" w:color="auto" w:fill="auto"/>
            <w:vAlign w:val="center"/>
          </w:tcPr>
          <w:p w14:paraId="1AE3FED6">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18</w:t>
            </w:r>
          </w:p>
        </w:tc>
        <w:tc>
          <w:tcPr>
            <w:tcW w:w="1691" w:type="dxa"/>
            <w:shd w:val="clear" w:color="auto" w:fill="auto"/>
            <w:vAlign w:val="center"/>
          </w:tcPr>
          <w:p w14:paraId="27BA9AD1">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周市镇阳光社区</w:t>
            </w:r>
          </w:p>
          <w:p w14:paraId="1511A598">
            <w:pPr>
              <w:widowControl/>
              <w:spacing w:line="240" w:lineRule="exact"/>
              <w:jc w:val="center"/>
              <w:textAlignment w:val="center"/>
              <w:rPr>
                <w:rStyle w:val="66"/>
                <w:rFonts w:hint="default" w:ascii="Times New Roman" w:hAnsi="Times New Roman" w:cs="Times New Roman"/>
                <w:color w:val="auto"/>
                <w:sz w:val="18"/>
                <w:szCs w:val="18"/>
                <w:highlight w:val="none"/>
              </w:rPr>
            </w:pPr>
            <w:r>
              <w:rPr>
                <w:rFonts w:hint="default" w:ascii="Times New Roman" w:hAnsi="Times New Roman" w:eastAsia="宋体" w:cs="Times New Roman"/>
                <w:color w:val="auto"/>
                <w:kern w:val="0"/>
                <w:sz w:val="18"/>
                <w:szCs w:val="18"/>
                <w:highlight w:val="none"/>
              </w:rPr>
              <w:t>嵌入式托育服务</w:t>
            </w:r>
          </w:p>
        </w:tc>
        <w:tc>
          <w:tcPr>
            <w:tcW w:w="623" w:type="dxa"/>
            <w:shd w:val="clear" w:color="auto" w:fill="auto"/>
            <w:vAlign w:val="center"/>
          </w:tcPr>
          <w:p w14:paraId="6B64F3C5">
            <w:pPr>
              <w:widowControl/>
              <w:spacing w:line="240" w:lineRule="exact"/>
              <w:jc w:val="center"/>
              <w:textAlignment w:val="center"/>
              <w:rPr>
                <w:rStyle w:val="66"/>
                <w:rFonts w:hint="default" w:ascii="Times New Roman" w:hAnsi="Times New Roman" w:cs="Times New Roman"/>
                <w:color w:val="auto"/>
                <w:sz w:val="18"/>
                <w:szCs w:val="18"/>
                <w:highlight w:val="none"/>
              </w:rPr>
            </w:pPr>
            <w:r>
              <w:rPr>
                <w:rFonts w:hint="default" w:ascii="Times New Roman" w:hAnsi="Times New Roman" w:eastAsia="宋体" w:cs="Times New Roman"/>
                <w:color w:val="auto"/>
                <w:kern w:val="0"/>
                <w:sz w:val="18"/>
                <w:szCs w:val="18"/>
                <w:highlight w:val="none"/>
              </w:rPr>
              <w:t>改建</w:t>
            </w:r>
          </w:p>
        </w:tc>
        <w:tc>
          <w:tcPr>
            <w:tcW w:w="1126" w:type="dxa"/>
            <w:shd w:val="clear" w:color="auto" w:fill="auto"/>
            <w:vAlign w:val="center"/>
          </w:tcPr>
          <w:p w14:paraId="0F1F641D">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周市镇</w:t>
            </w:r>
          </w:p>
          <w:p w14:paraId="7F8E6085">
            <w:pPr>
              <w:widowControl/>
              <w:spacing w:line="240" w:lineRule="exact"/>
              <w:jc w:val="center"/>
              <w:textAlignment w:val="center"/>
              <w:rPr>
                <w:rStyle w:val="66"/>
                <w:rFonts w:hint="default" w:ascii="Times New Roman" w:hAnsi="Times New Roman" w:cs="Times New Roman"/>
                <w:color w:val="auto"/>
                <w:sz w:val="18"/>
                <w:szCs w:val="18"/>
                <w:highlight w:val="none"/>
              </w:rPr>
            </w:pPr>
            <w:r>
              <w:rPr>
                <w:rFonts w:hint="default" w:ascii="Times New Roman" w:hAnsi="Times New Roman" w:eastAsia="宋体" w:cs="Times New Roman"/>
                <w:color w:val="auto"/>
                <w:kern w:val="0"/>
                <w:sz w:val="18"/>
                <w:szCs w:val="18"/>
                <w:highlight w:val="none"/>
              </w:rPr>
              <w:t>阳光社区</w:t>
            </w:r>
          </w:p>
        </w:tc>
        <w:tc>
          <w:tcPr>
            <w:tcW w:w="707" w:type="dxa"/>
            <w:shd w:val="clear" w:color="auto" w:fill="auto"/>
            <w:vAlign w:val="center"/>
          </w:tcPr>
          <w:p w14:paraId="7E07B649">
            <w:pPr>
              <w:widowControl/>
              <w:spacing w:line="240" w:lineRule="exact"/>
              <w:jc w:val="center"/>
              <w:textAlignment w:val="center"/>
              <w:rPr>
                <w:rFonts w:hint="default" w:ascii="Times New Roman" w:hAnsi="Times New Roman" w:eastAsia="宋体" w:cs="Times New Roman"/>
                <w:color w:val="auto"/>
                <w:kern w:val="0"/>
                <w:sz w:val="18"/>
                <w:szCs w:val="18"/>
                <w:highlight w:val="none"/>
                <w:lang w:val="en-US" w:eastAsia="zh-CN"/>
              </w:rPr>
            </w:pPr>
            <w:r>
              <w:rPr>
                <w:rFonts w:hint="eastAsia" w:eastAsia="宋体" w:cs="Times New Roman"/>
                <w:color w:val="auto"/>
                <w:kern w:val="0"/>
                <w:sz w:val="18"/>
                <w:szCs w:val="18"/>
                <w:highlight w:val="none"/>
                <w:lang w:val="en-US" w:eastAsia="zh-CN"/>
              </w:rPr>
              <w:t>270</w:t>
            </w:r>
          </w:p>
        </w:tc>
        <w:tc>
          <w:tcPr>
            <w:tcW w:w="624" w:type="dxa"/>
            <w:shd w:val="clear" w:color="auto" w:fill="auto"/>
            <w:vAlign w:val="center"/>
          </w:tcPr>
          <w:p w14:paraId="3C312E53">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2025</w:t>
            </w:r>
          </w:p>
        </w:tc>
        <w:tc>
          <w:tcPr>
            <w:tcW w:w="624" w:type="dxa"/>
            <w:shd w:val="clear" w:color="auto" w:fill="auto"/>
            <w:vAlign w:val="center"/>
          </w:tcPr>
          <w:p w14:paraId="2C812038">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2025</w:t>
            </w:r>
          </w:p>
        </w:tc>
        <w:tc>
          <w:tcPr>
            <w:tcW w:w="831" w:type="dxa"/>
            <w:shd w:val="clear" w:color="auto" w:fill="auto"/>
            <w:vAlign w:val="center"/>
          </w:tcPr>
          <w:p w14:paraId="6A955264">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50</w:t>
            </w:r>
          </w:p>
        </w:tc>
        <w:tc>
          <w:tcPr>
            <w:tcW w:w="2654" w:type="dxa"/>
            <w:shd w:val="clear" w:color="auto" w:fill="auto"/>
            <w:vAlign w:val="center"/>
          </w:tcPr>
          <w:p w14:paraId="27578634">
            <w:pPr>
              <w:widowControl/>
              <w:spacing w:line="240" w:lineRule="exact"/>
              <w:textAlignment w:val="center"/>
              <w:rPr>
                <w:rStyle w:val="66"/>
                <w:rFonts w:hint="default" w:ascii="Times New Roman" w:hAnsi="Times New Roman" w:cs="Times New Roman"/>
                <w:color w:val="auto"/>
                <w:sz w:val="18"/>
                <w:szCs w:val="18"/>
                <w:highlight w:val="none"/>
              </w:rPr>
            </w:pPr>
            <w:r>
              <w:rPr>
                <w:rFonts w:hint="default" w:ascii="Times New Roman" w:hAnsi="Times New Roman" w:eastAsia="宋体" w:cs="Times New Roman"/>
                <w:color w:val="auto"/>
                <w:kern w:val="0"/>
                <w:sz w:val="18"/>
                <w:szCs w:val="18"/>
                <w:highlight w:val="none"/>
              </w:rPr>
              <w:t>提供婴幼儿托育服务。</w:t>
            </w:r>
          </w:p>
        </w:tc>
        <w:tc>
          <w:tcPr>
            <w:tcW w:w="562" w:type="dxa"/>
            <w:shd w:val="clear" w:color="auto" w:fill="auto"/>
            <w:vAlign w:val="center"/>
          </w:tcPr>
          <w:p w14:paraId="7C131B8E">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w:t>
            </w:r>
          </w:p>
        </w:tc>
        <w:tc>
          <w:tcPr>
            <w:tcW w:w="684" w:type="dxa"/>
            <w:shd w:val="clear" w:color="auto" w:fill="auto"/>
            <w:vAlign w:val="center"/>
          </w:tcPr>
          <w:p w14:paraId="1110B7EA">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8500</w:t>
            </w:r>
          </w:p>
        </w:tc>
        <w:tc>
          <w:tcPr>
            <w:tcW w:w="966" w:type="dxa"/>
            <w:shd w:val="clear" w:color="auto" w:fill="auto"/>
            <w:vAlign w:val="center"/>
          </w:tcPr>
          <w:p w14:paraId="0FC7C805">
            <w:pPr>
              <w:widowControl/>
              <w:spacing w:line="240" w:lineRule="exact"/>
              <w:jc w:val="center"/>
              <w:textAlignment w:val="center"/>
              <w:rPr>
                <w:rFonts w:hint="default" w:ascii="Times New Roman" w:hAnsi="Times New Roman" w:eastAsia="宋体" w:cs="Times New Roman"/>
                <w:color w:val="auto"/>
                <w:kern w:val="0"/>
                <w:sz w:val="18"/>
                <w:szCs w:val="18"/>
                <w:highlight w:val="none"/>
                <w:lang w:val="en-US" w:eastAsia="zh-CN"/>
              </w:rPr>
            </w:pPr>
            <w:r>
              <w:rPr>
                <w:rFonts w:hint="eastAsia" w:eastAsia="宋体" w:cs="Times New Roman"/>
                <w:color w:val="auto"/>
                <w:kern w:val="0"/>
                <w:sz w:val="18"/>
                <w:szCs w:val="18"/>
                <w:highlight w:val="none"/>
                <w:lang w:val="en-US" w:eastAsia="zh-CN"/>
              </w:rPr>
              <w:t>270</w:t>
            </w:r>
          </w:p>
        </w:tc>
        <w:tc>
          <w:tcPr>
            <w:tcW w:w="684" w:type="dxa"/>
            <w:shd w:val="clear" w:color="auto" w:fill="auto"/>
            <w:vAlign w:val="center"/>
          </w:tcPr>
          <w:p w14:paraId="05519508">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0</w:t>
            </w:r>
          </w:p>
        </w:tc>
        <w:tc>
          <w:tcPr>
            <w:tcW w:w="692" w:type="dxa"/>
            <w:shd w:val="clear" w:color="auto" w:fill="auto"/>
            <w:vAlign w:val="center"/>
          </w:tcPr>
          <w:p w14:paraId="79252618">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0</w:t>
            </w:r>
          </w:p>
        </w:tc>
        <w:tc>
          <w:tcPr>
            <w:tcW w:w="623" w:type="dxa"/>
            <w:shd w:val="clear" w:color="auto" w:fill="auto"/>
            <w:vAlign w:val="center"/>
          </w:tcPr>
          <w:p w14:paraId="2D4B4D41">
            <w:pPr>
              <w:widowControl/>
              <w:spacing w:line="240" w:lineRule="exact"/>
              <w:jc w:val="center"/>
              <w:textAlignment w:val="center"/>
              <w:rPr>
                <w:rStyle w:val="66"/>
                <w:rFonts w:hint="default" w:ascii="Times New Roman" w:hAnsi="Times New Roman" w:cs="Times New Roman"/>
                <w:color w:val="auto"/>
                <w:sz w:val="18"/>
                <w:szCs w:val="18"/>
                <w:highlight w:val="none"/>
              </w:rPr>
            </w:pPr>
            <w:r>
              <w:rPr>
                <w:rFonts w:hint="default" w:ascii="Times New Roman" w:hAnsi="Times New Roman" w:eastAsia="宋体" w:cs="Times New Roman"/>
                <w:color w:val="auto"/>
                <w:kern w:val="0"/>
                <w:sz w:val="18"/>
                <w:szCs w:val="18"/>
                <w:highlight w:val="none"/>
              </w:rPr>
              <w:t>否</w:t>
            </w:r>
          </w:p>
        </w:tc>
        <w:tc>
          <w:tcPr>
            <w:tcW w:w="1673" w:type="dxa"/>
            <w:shd w:val="clear" w:color="auto" w:fill="auto"/>
            <w:vAlign w:val="center"/>
          </w:tcPr>
          <w:p w14:paraId="58B76F3E">
            <w:pPr>
              <w:widowControl/>
              <w:spacing w:line="240" w:lineRule="exact"/>
              <w:textAlignment w:val="center"/>
              <w:rPr>
                <w:rStyle w:val="66"/>
                <w:rFonts w:hint="default" w:ascii="Times New Roman" w:hAnsi="Times New Roman" w:cs="Times New Roman"/>
                <w:color w:val="auto"/>
                <w:sz w:val="18"/>
                <w:szCs w:val="18"/>
                <w:highlight w:val="none"/>
              </w:rPr>
            </w:pPr>
            <w:r>
              <w:rPr>
                <w:rFonts w:hint="default" w:ascii="Times New Roman" w:hAnsi="Times New Roman" w:eastAsia="宋体" w:cs="Times New Roman"/>
                <w:color w:val="auto"/>
                <w:kern w:val="0"/>
                <w:sz w:val="18"/>
                <w:szCs w:val="18"/>
                <w:highlight w:val="none"/>
              </w:rPr>
              <w:t>婴幼儿托育</w:t>
            </w:r>
          </w:p>
        </w:tc>
      </w:tr>
      <w:tr w14:paraId="70CDC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435" w:type="dxa"/>
            <w:shd w:val="clear" w:color="auto" w:fill="auto"/>
            <w:vAlign w:val="center"/>
          </w:tcPr>
          <w:p w14:paraId="513CC4FE">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19</w:t>
            </w:r>
          </w:p>
        </w:tc>
        <w:tc>
          <w:tcPr>
            <w:tcW w:w="1691" w:type="dxa"/>
            <w:shd w:val="clear" w:color="auto" w:fill="auto"/>
            <w:vAlign w:val="center"/>
          </w:tcPr>
          <w:p w14:paraId="7D066E79">
            <w:pPr>
              <w:widowControl/>
              <w:spacing w:line="240" w:lineRule="exact"/>
              <w:jc w:val="center"/>
              <w:textAlignment w:val="center"/>
              <w:rPr>
                <w:rStyle w:val="66"/>
                <w:rFonts w:hint="default" w:ascii="Times New Roman" w:hAnsi="Times New Roman" w:cs="Times New Roman"/>
                <w:color w:val="auto"/>
                <w:sz w:val="18"/>
                <w:szCs w:val="18"/>
                <w:highlight w:val="none"/>
              </w:rPr>
            </w:pPr>
            <w:r>
              <w:rPr>
                <w:rFonts w:hint="default" w:ascii="Times New Roman" w:hAnsi="Times New Roman" w:eastAsia="宋体" w:cs="Times New Roman"/>
                <w:color w:val="auto"/>
                <w:kern w:val="0"/>
                <w:sz w:val="18"/>
                <w:szCs w:val="18"/>
                <w:highlight w:val="none"/>
              </w:rPr>
              <w:t>陆家镇邹家角社区江玉琴代表工作室</w:t>
            </w:r>
          </w:p>
        </w:tc>
        <w:tc>
          <w:tcPr>
            <w:tcW w:w="623" w:type="dxa"/>
            <w:shd w:val="clear" w:color="auto" w:fill="auto"/>
            <w:vAlign w:val="center"/>
          </w:tcPr>
          <w:p w14:paraId="3375F675">
            <w:pPr>
              <w:widowControl/>
              <w:spacing w:line="240" w:lineRule="exact"/>
              <w:jc w:val="center"/>
              <w:textAlignment w:val="center"/>
              <w:rPr>
                <w:rStyle w:val="66"/>
                <w:rFonts w:hint="default" w:ascii="Times New Roman" w:hAnsi="Times New Roman" w:cs="Times New Roman"/>
                <w:color w:val="auto"/>
                <w:sz w:val="18"/>
                <w:szCs w:val="18"/>
                <w:highlight w:val="none"/>
              </w:rPr>
            </w:pPr>
            <w:r>
              <w:rPr>
                <w:rFonts w:hint="default" w:ascii="Times New Roman" w:hAnsi="Times New Roman" w:eastAsia="宋体" w:cs="Times New Roman"/>
                <w:color w:val="auto"/>
                <w:kern w:val="0"/>
                <w:sz w:val="18"/>
                <w:szCs w:val="18"/>
                <w:highlight w:val="none"/>
              </w:rPr>
              <w:t>改建</w:t>
            </w:r>
          </w:p>
        </w:tc>
        <w:tc>
          <w:tcPr>
            <w:tcW w:w="1126" w:type="dxa"/>
            <w:shd w:val="clear" w:color="auto" w:fill="auto"/>
            <w:vAlign w:val="center"/>
          </w:tcPr>
          <w:p w14:paraId="499F6E3B">
            <w:pPr>
              <w:widowControl/>
              <w:spacing w:line="240" w:lineRule="exact"/>
              <w:jc w:val="cente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陆家镇</w:t>
            </w:r>
          </w:p>
          <w:p w14:paraId="5C613329">
            <w:pPr>
              <w:widowControl/>
              <w:spacing w:line="240" w:lineRule="exact"/>
              <w:jc w:val="center"/>
              <w:textAlignment w:val="center"/>
              <w:rPr>
                <w:rStyle w:val="66"/>
                <w:rFonts w:hint="default" w:ascii="Times New Roman" w:hAnsi="Times New Roman" w:cs="Times New Roman"/>
                <w:color w:val="auto"/>
                <w:sz w:val="18"/>
                <w:szCs w:val="18"/>
                <w:highlight w:val="none"/>
              </w:rPr>
            </w:pPr>
            <w:r>
              <w:rPr>
                <w:rFonts w:hint="default" w:ascii="Times New Roman" w:hAnsi="Times New Roman" w:eastAsia="宋体" w:cs="Times New Roman"/>
                <w:color w:val="auto"/>
                <w:kern w:val="0"/>
                <w:sz w:val="18"/>
                <w:szCs w:val="18"/>
                <w:highlight w:val="none"/>
              </w:rPr>
              <w:t>邹家角社区</w:t>
            </w:r>
          </w:p>
        </w:tc>
        <w:tc>
          <w:tcPr>
            <w:tcW w:w="707" w:type="dxa"/>
            <w:shd w:val="clear" w:color="auto" w:fill="auto"/>
            <w:vAlign w:val="center"/>
          </w:tcPr>
          <w:p w14:paraId="5319A6A4">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383</w:t>
            </w:r>
          </w:p>
        </w:tc>
        <w:tc>
          <w:tcPr>
            <w:tcW w:w="624" w:type="dxa"/>
            <w:shd w:val="clear" w:color="auto" w:fill="auto"/>
            <w:vAlign w:val="center"/>
          </w:tcPr>
          <w:p w14:paraId="6578AAC4">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2025</w:t>
            </w:r>
          </w:p>
        </w:tc>
        <w:tc>
          <w:tcPr>
            <w:tcW w:w="624" w:type="dxa"/>
            <w:shd w:val="clear" w:color="auto" w:fill="auto"/>
            <w:vAlign w:val="center"/>
          </w:tcPr>
          <w:p w14:paraId="352EB930">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2025</w:t>
            </w:r>
          </w:p>
        </w:tc>
        <w:tc>
          <w:tcPr>
            <w:tcW w:w="831" w:type="dxa"/>
            <w:shd w:val="clear" w:color="auto" w:fill="auto"/>
            <w:vAlign w:val="center"/>
          </w:tcPr>
          <w:p w14:paraId="3FCD492B">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240</w:t>
            </w:r>
          </w:p>
        </w:tc>
        <w:tc>
          <w:tcPr>
            <w:tcW w:w="2654" w:type="dxa"/>
            <w:shd w:val="clear" w:color="auto" w:fill="auto"/>
            <w:vAlign w:val="center"/>
          </w:tcPr>
          <w:p w14:paraId="4FAEEA1B">
            <w:pPr>
              <w:widowControl/>
              <w:spacing w:line="240" w:lineRule="exact"/>
              <w:textAlignment w:val="center"/>
              <w:rPr>
                <w:rStyle w:val="66"/>
                <w:rFonts w:hint="default" w:ascii="Times New Roman" w:hAnsi="Times New Roman" w:cs="Times New Roman"/>
                <w:color w:val="auto"/>
                <w:sz w:val="18"/>
                <w:szCs w:val="18"/>
                <w:highlight w:val="none"/>
              </w:rPr>
            </w:pPr>
            <w:r>
              <w:rPr>
                <w:rFonts w:hint="default" w:ascii="Times New Roman" w:hAnsi="Times New Roman" w:eastAsia="宋体" w:cs="Times New Roman"/>
                <w:color w:val="auto"/>
                <w:kern w:val="0"/>
                <w:sz w:val="18"/>
                <w:szCs w:val="18"/>
                <w:highlight w:val="none"/>
              </w:rPr>
              <w:t>建设民意收集、矛盾调解、宣传教育等、党员先锋代表等多项功能于一体的沟通中心。</w:t>
            </w:r>
          </w:p>
        </w:tc>
        <w:tc>
          <w:tcPr>
            <w:tcW w:w="562" w:type="dxa"/>
            <w:shd w:val="clear" w:color="auto" w:fill="auto"/>
            <w:vAlign w:val="center"/>
          </w:tcPr>
          <w:p w14:paraId="68C9CDD0">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w:t>
            </w:r>
          </w:p>
        </w:tc>
        <w:tc>
          <w:tcPr>
            <w:tcW w:w="684" w:type="dxa"/>
            <w:shd w:val="clear" w:color="auto" w:fill="auto"/>
            <w:vAlign w:val="center"/>
          </w:tcPr>
          <w:p w14:paraId="2B98D6AC">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9600</w:t>
            </w:r>
          </w:p>
        </w:tc>
        <w:tc>
          <w:tcPr>
            <w:tcW w:w="966" w:type="dxa"/>
            <w:shd w:val="clear" w:color="auto" w:fill="auto"/>
            <w:vAlign w:val="center"/>
          </w:tcPr>
          <w:p w14:paraId="5115B9FD">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383</w:t>
            </w:r>
          </w:p>
        </w:tc>
        <w:tc>
          <w:tcPr>
            <w:tcW w:w="684" w:type="dxa"/>
            <w:shd w:val="clear" w:color="auto" w:fill="auto"/>
            <w:vAlign w:val="center"/>
          </w:tcPr>
          <w:p w14:paraId="2495C90E">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0</w:t>
            </w:r>
          </w:p>
        </w:tc>
        <w:tc>
          <w:tcPr>
            <w:tcW w:w="692" w:type="dxa"/>
            <w:shd w:val="clear" w:color="auto" w:fill="auto"/>
            <w:vAlign w:val="center"/>
          </w:tcPr>
          <w:p w14:paraId="425BBEC5">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0</w:t>
            </w:r>
          </w:p>
        </w:tc>
        <w:tc>
          <w:tcPr>
            <w:tcW w:w="623" w:type="dxa"/>
            <w:shd w:val="clear" w:color="auto" w:fill="auto"/>
            <w:vAlign w:val="center"/>
          </w:tcPr>
          <w:p w14:paraId="1E4CC44A">
            <w:pPr>
              <w:widowControl/>
              <w:spacing w:line="240" w:lineRule="exact"/>
              <w:jc w:val="center"/>
              <w:textAlignment w:val="center"/>
              <w:rPr>
                <w:rStyle w:val="66"/>
                <w:rFonts w:hint="default" w:ascii="Times New Roman" w:hAnsi="Times New Roman" w:cs="Times New Roman"/>
                <w:color w:val="auto"/>
                <w:sz w:val="18"/>
                <w:szCs w:val="18"/>
                <w:highlight w:val="none"/>
              </w:rPr>
            </w:pPr>
            <w:r>
              <w:rPr>
                <w:rFonts w:hint="default" w:ascii="Times New Roman" w:hAnsi="Times New Roman" w:eastAsia="宋体" w:cs="Times New Roman"/>
                <w:color w:val="auto"/>
                <w:kern w:val="0"/>
                <w:sz w:val="18"/>
                <w:szCs w:val="18"/>
                <w:highlight w:val="none"/>
              </w:rPr>
              <w:t>是</w:t>
            </w:r>
          </w:p>
        </w:tc>
        <w:tc>
          <w:tcPr>
            <w:tcW w:w="1673" w:type="dxa"/>
            <w:shd w:val="clear" w:color="auto" w:fill="auto"/>
            <w:vAlign w:val="center"/>
          </w:tcPr>
          <w:p w14:paraId="25F2AE8F">
            <w:pPr>
              <w:widowControl/>
              <w:spacing w:line="240" w:lineRule="exact"/>
              <w:textAlignment w:val="center"/>
              <w:rPr>
                <w:rStyle w:val="66"/>
                <w:rFonts w:hint="default" w:ascii="Times New Roman" w:hAnsi="Times New Roman" w:cs="Times New Roman"/>
                <w:color w:val="auto"/>
                <w:sz w:val="18"/>
                <w:szCs w:val="18"/>
                <w:highlight w:val="none"/>
              </w:rPr>
            </w:pPr>
            <w:r>
              <w:rPr>
                <w:rFonts w:hint="default" w:ascii="Times New Roman" w:hAnsi="Times New Roman" w:eastAsia="宋体" w:cs="Times New Roman"/>
                <w:color w:val="auto"/>
                <w:kern w:val="0"/>
                <w:sz w:val="18"/>
                <w:szCs w:val="18"/>
                <w:highlight w:val="none"/>
              </w:rPr>
              <w:t>家政便民、民意收集、矛盾调解、宣传教育等</w:t>
            </w:r>
          </w:p>
        </w:tc>
      </w:tr>
      <w:tr w14:paraId="45518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435" w:type="dxa"/>
            <w:shd w:val="clear" w:color="auto" w:fill="auto"/>
            <w:vAlign w:val="center"/>
          </w:tcPr>
          <w:p w14:paraId="7FDD96CB">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20</w:t>
            </w:r>
          </w:p>
        </w:tc>
        <w:tc>
          <w:tcPr>
            <w:tcW w:w="1691" w:type="dxa"/>
            <w:shd w:val="clear" w:color="auto" w:fill="auto"/>
            <w:vAlign w:val="center"/>
          </w:tcPr>
          <w:p w14:paraId="61F0BE7B">
            <w:pPr>
              <w:widowControl/>
              <w:spacing w:line="240" w:lineRule="exact"/>
              <w:jc w:val="center"/>
              <w:textAlignment w:val="center"/>
              <w:rPr>
                <w:rStyle w:val="66"/>
                <w:rFonts w:hint="default" w:ascii="Times New Roman" w:hAnsi="Times New Roman" w:cs="Times New Roman"/>
                <w:color w:val="auto"/>
                <w:sz w:val="18"/>
                <w:szCs w:val="18"/>
                <w:highlight w:val="none"/>
              </w:rPr>
            </w:pPr>
            <w:r>
              <w:rPr>
                <w:rFonts w:hint="default" w:ascii="Times New Roman" w:hAnsi="Times New Roman" w:eastAsia="宋体" w:cs="Times New Roman"/>
                <w:color w:val="auto"/>
                <w:kern w:val="0"/>
                <w:sz w:val="18"/>
                <w:szCs w:val="18"/>
                <w:highlight w:val="none"/>
              </w:rPr>
              <w:t>巴城镇君子亭社区嵌入式养老</w:t>
            </w:r>
          </w:p>
        </w:tc>
        <w:tc>
          <w:tcPr>
            <w:tcW w:w="623" w:type="dxa"/>
            <w:shd w:val="clear" w:color="auto" w:fill="auto"/>
            <w:vAlign w:val="center"/>
          </w:tcPr>
          <w:p w14:paraId="5BF0C41A">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改</w:t>
            </w:r>
          </w:p>
          <w:p w14:paraId="1A7ACB71">
            <w:pPr>
              <w:widowControl/>
              <w:spacing w:line="240" w:lineRule="exact"/>
              <w:jc w:val="center"/>
              <w:textAlignment w:val="center"/>
              <w:rPr>
                <w:rStyle w:val="66"/>
                <w:rFonts w:hint="default" w:ascii="Times New Roman" w:hAnsi="Times New Roman" w:cs="Times New Roman"/>
                <w:color w:val="auto"/>
                <w:sz w:val="18"/>
                <w:szCs w:val="18"/>
                <w:highlight w:val="none"/>
              </w:rPr>
            </w:pPr>
            <w:r>
              <w:rPr>
                <w:rFonts w:hint="default" w:ascii="Times New Roman" w:hAnsi="Times New Roman" w:eastAsia="宋体" w:cs="Times New Roman"/>
                <w:color w:val="auto"/>
                <w:kern w:val="0"/>
                <w:sz w:val="18"/>
                <w:szCs w:val="18"/>
                <w:highlight w:val="none"/>
              </w:rPr>
              <w:t>扩建</w:t>
            </w:r>
          </w:p>
        </w:tc>
        <w:tc>
          <w:tcPr>
            <w:tcW w:w="1126" w:type="dxa"/>
            <w:shd w:val="clear" w:color="auto" w:fill="auto"/>
            <w:vAlign w:val="center"/>
          </w:tcPr>
          <w:p w14:paraId="4AACA8C6">
            <w:pPr>
              <w:widowControl/>
              <w:spacing w:line="240" w:lineRule="exact"/>
              <w:jc w:val="center"/>
              <w:textAlignment w:val="center"/>
              <w:rPr>
                <w:rStyle w:val="66"/>
                <w:rFonts w:hint="default" w:ascii="Times New Roman" w:hAnsi="Times New Roman" w:cs="Times New Roman"/>
                <w:color w:val="auto"/>
                <w:sz w:val="18"/>
                <w:szCs w:val="18"/>
                <w:highlight w:val="none"/>
              </w:rPr>
            </w:pPr>
            <w:r>
              <w:rPr>
                <w:rFonts w:hint="default" w:ascii="Times New Roman" w:hAnsi="Times New Roman" w:eastAsia="宋体" w:cs="Times New Roman"/>
                <w:color w:val="auto"/>
                <w:kern w:val="0"/>
                <w:sz w:val="18"/>
                <w:szCs w:val="18"/>
                <w:highlight w:val="none"/>
              </w:rPr>
              <w:t>巴城镇社会事业办公室</w:t>
            </w:r>
          </w:p>
        </w:tc>
        <w:tc>
          <w:tcPr>
            <w:tcW w:w="707" w:type="dxa"/>
            <w:shd w:val="clear" w:color="auto" w:fill="auto"/>
            <w:vAlign w:val="center"/>
          </w:tcPr>
          <w:p w14:paraId="53AA6DAA">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200</w:t>
            </w:r>
          </w:p>
        </w:tc>
        <w:tc>
          <w:tcPr>
            <w:tcW w:w="624" w:type="dxa"/>
            <w:shd w:val="clear" w:color="auto" w:fill="auto"/>
            <w:vAlign w:val="center"/>
          </w:tcPr>
          <w:p w14:paraId="7C34185A">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2025</w:t>
            </w:r>
          </w:p>
        </w:tc>
        <w:tc>
          <w:tcPr>
            <w:tcW w:w="624" w:type="dxa"/>
            <w:shd w:val="clear" w:color="auto" w:fill="auto"/>
            <w:vAlign w:val="center"/>
          </w:tcPr>
          <w:p w14:paraId="3AA303D0">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2025</w:t>
            </w:r>
          </w:p>
        </w:tc>
        <w:tc>
          <w:tcPr>
            <w:tcW w:w="831" w:type="dxa"/>
            <w:shd w:val="clear" w:color="auto" w:fill="auto"/>
            <w:vAlign w:val="center"/>
          </w:tcPr>
          <w:p w14:paraId="03F8C50D">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10</w:t>
            </w:r>
          </w:p>
        </w:tc>
        <w:tc>
          <w:tcPr>
            <w:tcW w:w="2654" w:type="dxa"/>
            <w:shd w:val="clear" w:color="auto" w:fill="auto"/>
            <w:vAlign w:val="center"/>
          </w:tcPr>
          <w:p w14:paraId="270A6056">
            <w:pPr>
              <w:widowControl/>
              <w:spacing w:line="240" w:lineRule="exact"/>
              <w:textAlignment w:val="center"/>
              <w:rPr>
                <w:rStyle w:val="66"/>
                <w:rFonts w:hint="default" w:ascii="Times New Roman" w:hAnsi="Times New Roman" w:cs="Times New Roman"/>
                <w:color w:val="auto"/>
                <w:sz w:val="18"/>
                <w:szCs w:val="18"/>
                <w:highlight w:val="none"/>
              </w:rPr>
            </w:pPr>
            <w:r>
              <w:rPr>
                <w:rFonts w:hint="default" w:ascii="Times New Roman" w:hAnsi="Times New Roman" w:eastAsia="宋体" w:cs="Times New Roman"/>
                <w:color w:val="auto"/>
                <w:kern w:val="0"/>
                <w:sz w:val="18"/>
                <w:szCs w:val="18"/>
                <w:highlight w:val="none"/>
              </w:rPr>
              <w:t>设置阅读区、餐饮区、观影区、活动室等。</w:t>
            </w:r>
          </w:p>
        </w:tc>
        <w:tc>
          <w:tcPr>
            <w:tcW w:w="562" w:type="dxa"/>
            <w:shd w:val="clear" w:color="auto" w:fill="auto"/>
            <w:vAlign w:val="center"/>
          </w:tcPr>
          <w:p w14:paraId="23D85F40">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3</w:t>
            </w:r>
          </w:p>
        </w:tc>
        <w:tc>
          <w:tcPr>
            <w:tcW w:w="684" w:type="dxa"/>
            <w:shd w:val="clear" w:color="auto" w:fill="auto"/>
            <w:vAlign w:val="center"/>
          </w:tcPr>
          <w:p w14:paraId="5A7AB1DF">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1000</w:t>
            </w:r>
          </w:p>
        </w:tc>
        <w:tc>
          <w:tcPr>
            <w:tcW w:w="966" w:type="dxa"/>
            <w:shd w:val="clear" w:color="auto" w:fill="auto"/>
            <w:vAlign w:val="center"/>
          </w:tcPr>
          <w:p w14:paraId="13EFF064">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200</w:t>
            </w:r>
          </w:p>
        </w:tc>
        <w:tc>
          <w:tcPr>
            <w:tcW w:w="684" w:type="dxa"/>
            <w:shd w:val="clear" w:color="auto" w:fill="auto"/>
            <w:vAlign w:val="center"/>
          </w:tcPr>
          <w:p w14:paraId="00FCFD8A">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0</w:t>
            </w:r>
          </w:p>
        </w:tc>
        <w:tc>
          <w:tcPr>
            <w:tcW w:w="692" w:type="dxa"/>
            <w:shd w:val="clear" w:color="auto" w:fill="auto"/>
            <w:vAlign w:val="center"/>
          </w:tcPr>
          <w:p w14:paraId="5F31B13A">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0</w:t>
            </w:r>
          </w:p>
        </w:tc>
        <w:tc>
          <w:tcPr>
            <w:tcW w:w="623" w:type="dxa"/>
            <w:shd w:val="clear" w:color="auto" w:fill="auto"/>
            <w:vAlign w:val="center"/>
          </w:tcPr>
          <w:p w14:paraId="468BD37A">
            <w:pPr>
              <w:widowControl/>
              <w:spacing w:line="240" w:lineRule="exact"/>
              <w:jc w:val="center"/>
              <w:textAlignment w:val="center"/>
              <w:rPr>
                <w:rStyle w:val="66"/>
                <w:rFonts w:hint="default" w:ascii="Times New Roman" w:hAnsi="Times New Roman" w:cs="Times New Roman"/>
                <w:color w:val="auto"/>
                <w:sz w:val="18"/>
                <w:szCs w:val="18"/>
                <w:highlight w:val="none"/>
              </w:rPr>
            </w:pPr>
            <w:r>
              <w:rPr>
                <w:rFonts w:hint="default" w:ascii="Times New Roman" w:hAnsi="Times New Roman" w:eastAsia="宋体" w:cs="Times New Roman"/>
                <w:color w:val="auto"/>
                <w:kern w:val="0"/>
                <w:sz w:val="18"/>
                <w:szCs w:val="18"/>
                <w:highlight w:val="none"/>
              </w:rPr>
              <w:t>否</w:t>
            </w:r>
          </w:p>
        </w:tc>
        <w:tc>
          <w:tcPr>
            <w:tcW w:w="1673" w:type="dxa"/>
            <w:shd w:val="clear" w:color="auto" w:fill="auto"/>
            <w:vAlign w:val="center"/>
          </w:tcPr>
          <w:p w14:paraId="2C8BACB3">
            <w:pPr>
              <w:widowControl/>
              <w:spacing w:line="240" w:lineRule="exact"/>
              <w:textAlignment w:val="center"/>
              <w:rPr>
                <w:rStyle w:val="66"/>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rPr>
              <w:t>养老 、社区 、文化休闲</w:t>
            </w:r>
            <w:r>
              <w:rPr>
                <w:rFonts w:hint="default" w:ascii="Times New Roman" w:hAnsi="Times New Roman" w:eastAsia="宋体" w:cs="Times New Roman"/>
                <w:color w:val="auto"/>
                <w:kern w:val="0"/>
                <w:sz w:val="18"/>
                <w:szCs w:val="18"/>
                <w:highlight w:val="none"/>
                <w:lang w:val="en-US" w:eastAsia="zh-CN"/>
              </w:rPr>
              <w:t>等</w:t>
            </w:r>
          </w:p>
        </w:tc>
      </w:tr>
      <w:tr w14:paraId="74372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435" w:type="dxa"/>
            <w:shd w:val="clear" w:color="auto" w:fill="auto"/>
            <w:vAlign w:val="center"/>
          </w:tcPr>
          <w:p w14:paraId="2592FFB2">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21</w:t>
            </w:r>
          </w:p>
        </w:tc>
        <w:tc>
          <w:tcPr>
            <w:tcW w:w="1691" w:type="dxa"/>
            <w:shd w:val="clear" w:color="auto" w:fill="auto"/>
            <w:vAlign w:val="center"/>
          </w:tcPr>
          <w:p w14:paraId="575CC784">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千灯镇年沙社区嵌入式服务综合体（社区服务中心）</w:t>
            </w:r>
          </w:p>
        </w:tc>
        <w:tc>
          <w:tcPr>
            <w:tcW w:w="623" w:type="dxa"/>
            <w:shd w:val="clear" w:color="auto" w:fill="auto"/>
            <w:vAlign w:val="center"/>
          </w:tcPr>
          <w:p w14:paraId="0BEB9308">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新建</w:t>
            </w:r>
          </w:p>
        </w:tc>
        <w:tc>
          <w:tcPr>
            <w:tcW w:w="1126" w:type="dxa"/>
            <w:shd w:val="clear" w:color="auto" w:fill="auto"/>
            <w:vAlign w:val="center"/>
          </w:tcPr>
          <w:p w14:paraId="3AADE9F8">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千灯镇</w:t>
            </w:r>
          </w:p>
          <w:p w14:paraId="67F42326">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人民政府</w:t>
            </w:r>
          </w:p>
        </w:tc>
        <w:tc>
          <w:tcPr>
            <w:tcW w:w="707" w:type="dxa"/>
            <w:shd w:val="clear" w:color="auto" w:fill="auto"/>
            <w:vAlign w:val="center"/>
          </w:tcPr>
          <w:p w14:paraId="47C1EB33">
            <w:pPr>
              <w:widowControl/>
              <w:spacing w:line="240" w:lineRule="exact"/>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rPr>
              <w:t>84</w:t>
            </w:r>
            <w:r>
              <w:rPr>
                <w:rFonts w:hint="default" w:ascii="Times New Roman" w:hAnsi="Times New Roman" w:eastAsia="宋体" w:cs="Times New Roman"/>
                <w:color w:val="auto"/>
                <w:kern w:val="0"/>
                <w:sz w:val="18"/>
                <w:szCs w:val="18"/>
                <w:highlight w:val="none"/>
                <w:lang w:val="en-US" w:eastAsia="zh-CN"/>
              </w:rPr>
              <w:t>8</w:t>
            </w:r>
          </w:p>
        </w:tc>
        <w:tc>
          <w:tcPr>
            <w:tcW w:w="624" w:type="dxa"/>
            <w:shd w:val="clear" w:color="auto" w:fill="auto"/>
            <w:vAlign w:val="center"/>
          </w:tcPr>
          <w:p w14:paraId="2E2A8F34">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2025</w:t>
            </w:r>
          </w:p>
        </w:tc>
        <w:tc>
          <w:tcPr>
            <w:tcW w:w="624" w:type="dxa"/>
            <w:shd w:val="clear" w:color="auto" w:fill="auto"/>
            <w:vAlign w:val="center"/>
          </w:tcPr>
          <w:p w14:paraId="39C0EFF6">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2026</w:t>
            </w:r>
          </w:p>
        </w:tc>
        <w:tc>
          <w:tcPr>
            <w:tcW w:w="831" w:type="dxa"/>
            <w:shd w:val="clear" w:color="auto" w:fill="auto"/>
            <w:vAlign w:val="center"/>
          </w:tcPr>
          <w:p w14:paraId="7620C57C">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900</w:t>
            </w:r>
          </w:p>
        </w:tc>
        <w:tc>
          <w:tcPr>
            <w:tcW w:w="2654" w:type="dxa"/>
            <w:shd w:val="clear" w:color="auto" w:fill="auto"/>
            <w:vAlign w:val="center"/>
          </w:tcPr>
          <w:p w14:paraId="0B127B38">
            <w:pPr>
              <w:widowControl/>
              <w:spacing w:line="240" w:lineRule="exac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建设集养老、医疗、体育健身、文化休闲、儿童游憩等功能于一体的社区综合服务中心。</w:t>
            </w:r>
          </w:p>
        </w:tc>
        <w:tc>
          <w:tcPr>
            <w:tcW w:w="562" w:type="dxa"/>
            <w:shd w:val="clear" w:color="auto" w:fill="auto"/>
            <w:vAlign w:val="center"/>
          </w:tcPr>
          <w:p w14:paraId="67D3C9A8">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1</w:t>
            </w:r>
          </w:p>
        </w:tc>
        <w:tc>
          <w:tcPr>
            <w:tcW w:w="684" w:type="dxa"/>
            <w:shd w:val="clear" w:color="auto" w:fill="auto"/>
            <w:vAlign w:val="center"/>
          </w:tcPr>
          <w:p w14:paraId="58D47B48">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6000</w:t>
            </w:r>
          </w:p>
        </w:tc>
        <w:tc>
          <w:tcPr>
            <w:tcW w:w="966" w:type="dxa"/>
            <w:shd w:val="clear" w:color="auto" w:fill="auto"/>
            <w:vAlign w:val="center"/>
          </w:tcPr>
          <w:p w14:paraId="3B8AB849">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847.7</w:t>
            </w:r>
          </w:p>
        </w:tc>
        <w:tc>
          <w:tcPr>
            <w:tcW w:w="684" w:type="dxa"/>
            <w:shd w:val="clear" w:color="auto" w:fill="auto"/>
            <w:vAlign w:val="center"/>
          </w:tcPr>
          <w:p w14:paraId="6028DD30">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0</w:t>
            </w:r>
          </w:p>
        </w:tc>
        <w:tc>
          <w:tcPr>
            <w:tcW w:w="692" w:type="dxa"/>
            <w:shd w:val="clear" w:color="auto" w:fill="auto"/>
            <w:vAlign w:val="center"/>
          </w:tcPr>
          <w:p w14:paraId="6BA89C7C">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0</w:t>
            </w:r>
          </w:p>
        </w:tc>
        <w:tc>
          <w:tcPr>
            <w:tcW w:w="623" w:type="dxa"/>
            <w:shd w:val="clear" w:color="auto" w:fill="auto"/>
            <w:vAlign w:val="center"/>
          </w:tcPr>
          <w:p w14:paraId="64B2F7B3">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是</w:t>
            </w:r>
          </w:p>
        </w:tc>
        <w:tc>
          <w:tcPr>
            <w:tcW w:w="1673" w:type="dxa"/>
            <w:shd w:val="clear" w:color="auto" w:fill="auto"/>
            <w:vAlign w:val="center"/>
          </w:tcPr>
          <w:p w14:paraId="3DDDFB48">
            <w:pPr>
              <w:widowControl/>
              <w:spacing w:line="240" w:lineRule="exac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养老、家政便民、健康服务、体育健身、文化休闲、儿童游憩</w:t>
            </w:r>
          </w:p>
        </w:tc>
      </w:tr>
      <w:tr w14:paraId="1765B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435" w:type="dxa"/>
            <w:shd w:val="clear" w:color="auto" w:fill="auto"/>
            <w:vAlign w:val="center"/>
          </w:tcPr>
          <w:p w14:paraId="1E7722CB">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22</w:t>
            </w:r>
          </w:p>
        </w:tc>
        <w:tc>
          <w:tcPr>
            <w:tcW w:w="1691" w:type="dxa"/>
            <w:shd w:val="clear" w:color="auto" w:fill="auto"/>
            <w:vAlign w:val="center"/>
          </w:tcPr>
          <w:p w14:paraId="4E85A163">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千灯镇炎武社区嵌入式服务综合体</w:t>
            </w:r>
          </w:p>
          <w:p w14:paraId="5B37DE0B">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（社区服务中心）</w:t>
            </w:r>
          </w:p>
        </w:tc>
        <w:tc>
          <w:tcPr>
            <w:tcW w:w="623" w:type="dxa"/>
            <w:shd w:val="clear" w:color="auto" w:fill="auto"/>
            <w:vAlign w:val="center"/>
          </w:tcPr>
          <w:p w14:paraId="3891FD2C">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改建</w:t>
            </w:r>
          </w:p>
        </w:tc>
        <w:tc>
          <w:tcPr>
            <w:tcW w:w="1126" w:type="dxa"/>
            <w:shd w:val="clear" w:color="auto" w:fill="auto"/>
            <w:vAlign w:val="center"/>
          </w:tcPr>
          <w:p w14:paraId="636B5A1D">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千灯镇</w:t>
            </w:r>
          </w:p>
          <w:p w14:paraId="2888F057">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炎武社区</w:t>
            </w:r>
          </w:p>
        </w:tc>
        <w:tc>
          <w:tcPr>
            <w:tcW w:w="707" w:type="dxa"/>
            <w:shd w:val="clear" w:color="auto" w:fill="auto"/>
            <w:vAlign w:val="center"/>
          </w:tcPr>
          <w:p w14:paraId="6D5920EC">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820</w:t>
            </w:r>
          </w:p>
        </w:tc>
        <w:tc>
          <w:tcPr>
            <w:tcW w:w="624" w:type="dxa"/>
            <w:shd w:val="clear" w:color="auto" w:fill="auto"/>
            <w:vAlign w:val="center"/>
          </w:tcPr>
          <w:p w14:paraId="56C7CD2B">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2025</w:t>
            </w:r>
          </w:p>
        </w:tc>
        <w:tc>
          <w:tcPr>
            <w:tcW w:w="624" w:type="dxa"/>
            <w:shd w:val="clear" w:color="auto" w:fill="auto"/>
            <w:vAlign w:val="center"/>
          </w:tcPr>
          <w:p w14:paraId="1D68CEB5">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2026</w:t>
            </w:r>
          </w:p>
        </w:tc>
        <w:tc>
          <w:tcPr>
            <w:tcW w:w="831" w:type="dxa"/>
            <w:shd w:val="clear" w:color="auto" w:fill="auto"/>
            <w:vAlign w:val="center"/>
          </w:tcPr>
          <w:p w14:paraId="334A7DBC">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300</w:t>
            </w:r>
          </w:p>
        </w:tc>
        <w:tc>
          <w:tcPr>
            <w:tcW w:w="2654" w:type="dxa"/>
            <w:shd w:val="clear" w:color="auto" w:fill="auto"/>
            <w:vAlign w:val="center"/>
          </w:tcPr>
          <w:p w14:paraId="7D087C8D">
            <w:pPr>
              <w:widowControl/>
              <w:spacing w:line="240" w:lineRule="exac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建设集养老、体育健身、文化休闲、儿童游憩等功能于一体的社区综合服务中心。</w:t>
            </w:r>
          </w:p>
        </w:tc>
        <w:tc>
          <w:tcPr>
            <w:tcW w:w="562" w:type="dxa"/>
            <w:shd w:val="clear" w:color="auto" w:fill="auto"/>
            <w:vAlign w:val="center"/>
          </w:tcPr>
          <w:p w14:paraId="15F4AF5E">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w:t>
            </w:r>
          </w:p>
        </w:tc>
        <w:tc>
          <w:tcPr>
            <w:tcW w:w="684" w:type="dxa"/>
            <w:shd w:val="clear" w:color="auto" w:fill="auto"/>
            <w:vAlign w:val="center"/>
          </w:tcPr>
          <w:p w14:paraId="3CF18DC1">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18000</w:t>
            </w:r>
          </w:p>
        </w:tc>
        <w:tc>
          <w:tcPr>
            <w:tcW w:w="966" w:type="dxa"/>
            <w:shd w:val="clear" w:color="auto" w:fill="auto"/>
            <w:vAlign w:val="center"/>
          </w:tcPr>
          <w:p w14:paraId="245C0797">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0</w:t>
            </w:r>
          </w:p>
        </w:tc>
        <w:tc>
          <w:tcPr>
            <w:tcW w:w="684" w:type="dxa"/>
            <w:shd w:val="clear" w:color="auto" w:fill="auto"/>
            <w:vAlign w:val="center"/>
          </w:tcPr>
          <w:p w14:paraId="5CBBE003">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0</w:t>
            </w:r>
          </w:p>
        </w:tc>
        <w:tc>
          <w:tcPr>
            <w:tcW w:w="692" w:type="dxa"/>
            <w:shd w:val="clear" w:color="auto" w:fill="auto"/>
            <w:vAlign w:val="center"/>
          </w:tcPr>
          <w:p w14:paraId="4179FB26">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0</w:t>
            </w:r>
          </w:p>
        </w:tc>
        <w:tc>
          <w:tcPr>
            <w:tcW w:w="623" w:type="dxa"/>
            <w:shd w:val="clear" w:color="auto" w:fill="auto"/>
            <w:vAlign w:val="center"/>
          </w:tcPr>
          <w:p w14:paraId="68D0F1F6">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否</w:t>
            </w:r>
          </w:p>
        </w:tc>
        <w:tc>
          <w:tcPr>
            <w:tcW w:w="1673" w:type="dxa"/>
            <w:shd w:val="clear" w:color="auto" w:fill="auto"/>
            <w:vAlign w:val="center"/>
          </w:tcPr>
          <w:p w14:paraId="07990F59">
            <w:pPr>
              <w:widowControl/>
              <w:spacing w:line="240" w:lineRule="exac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养老服务、健康服务、体育健身、文化休闲、儿童游憩等</w:t>
            </w:r>
          </w:p>
        </w:tc>
      </w:tr>
      <w:tr w14:paraId="1F102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435" w:type="dxa"/>
            <w:shd w:val="clear" w:color="auto" w:fill="auto"/>
            <w:vAlign w:val="center"/>
          </w:tcPr>
          <w:p w14:paraId="0BC94E1E">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w:t>
            </w:r>
          </w:p>
        </w:tc>
        <w:tc>
          <w:tcPr>
            <w:tcW w:w="1691" w:type="dxa"/>
            <w:shd w:val="clear" w:color="auto" w:fill="auto"/>
            <w:vAlign w:val="center"/>
          </w:tcPr>
          <w:p w14:paraId="7D273219">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千灯镇马路社区怡康邻里坊（嵌入式服务综合活动中心）</w:t>
            </w:r>
          </w:p>
        </w:tc>
        <w:tc>
          <w:tcPr>
            <w:tcW w:w="623" w:type="dxa"/>
            <w:shd w:val="clear" w:color="auto" w:fill="auto"/>
            <w:vAlign w:val="center"/>
          </w:tcPr>
          <w:p w14:paraId="10AF9F23">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新建</w:t>
            </w:r>
          </w:p>
        </w:tc>
        <w:tc>
          <w:tcPr>
            <w:tcW w:w="1126" w:type="dxa"/>
            <w:shd w:val="clear" w:color="auto" w:fill="auto"/>
            <w:vAlign w:val="center"/>
          </w:tcPr>
          <w:p w14:paraId="39CCB4A5">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千灯镇</w:t>
            </w:r>
          </w:p>
          <w:p w14:paraId="0493AC15">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马路桥社区</w:t>
            </w:r>
          </w:p>
        </w:tc>
        <w:tc>
          <w:tcPr>
            <w:tcW w:w="707" w:type="dxa"/>
            <w:shd w:val="clear" w:color="auto" w:fill="auto"/>
            <w:vAlign w:val="center"/>
          </w:tcPr>
          <w:p w14:paraId="7893766A">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800</w:t>
            </w:r>
          </w:p>
        </w:tc>
        <w:tc>
          <w:tcPr>
            <w:tcW w:w="624" w:type="dxa"/>
            <w:shd w:val="clear" w:color="auto" w:fill="auto"/>
            <w:vAlign w:val="center"/>
          </w:tcPr>
          <w:p w14:paraId="2E9614FD">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2025</w:t>
            </w:r>
          </w:p>
        </w:tc>
        <w:tc>
          <w:tcPr>
            <w:tcW w:w="624" w:type="dxa"/>
            <w:shd w:val="clear" w:color="auto" w:fill="auto"/>
            <w:vAlign w:val="center"/>
          </w:tcPr>
          <w:p w14:paraId="7CF568EB">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2027</w:t>
            </w:r>
          </w:p>
        </w:tc>
        <w:tc>
          <w:tcPr>
            <w:tcW w:w="831" w:type="dxa"/>
            <w:shd w:val="clear" w:color="auto" w:fill="auto"/>
            <w:vAlign w:val="center"/>
          </w:tcPr>
          <w:p w14:paraId="57C5BC69">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150</w:t>
            </w:r>
          </w:p>
        </w:tc>
        <w:tc>
          <w:tcPr>
            <w:tcW w:w="2654" w:type="dxa"/>
            <w:shd w:val="clear" w:color="auto" w:fill="auto"/>
            <w:vAlign w:val="center"/>
          </w:tcPr>
          <w:p w14:paraId="47B5D6F3">
            <w:pPr>
              <w:widowControl/>
              <w:spacing w:line="240" w:lineRule="exac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建设集老年助餐、残疾人康复、文化休闲、社区服务等为一体的社区嵌入式服务设施。</w:t>
            </w:r>
          </w:p>
        </w:tc>
        <w:tc>
          <w:tcPr>
            <w:tcW w:w="562" w:type="dxa"/>
            <w:shd w:val="clear" w:color="auto" w:fill="auto"/>
            <w:vAlign w:val="center"/>
          </w:tcPr>
          <w:p w14:paraId="1140089E">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1</w:t>
            </w:r>
          </w:p>
        </w:tc>
        <w:tc>
          <w:tcPr>
            <w:tcW w:w="684" w:type="dxa"/>
            <w:shd w:val="clear" w:color="auto" w:fill="auto"/>
            <w:vAlign w:val="center"/>
          </w:tcPr>
          <w:p w14:paraId="46F2BD40">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8445</w:t>
            </w:r>
          </w:p>
        </w:tc>
        <w:tc>
          <w:tcPr>
            <w:tcW w:w="966" w:type="dxa"/>
            <w:shd w:val="clear" w:color="auto" w:fill="auto"/>
            <w:vAlign w:val="center"/>
          </w:tcPr>
          <w:p w14:paraId="3FBBCBFA">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800</w:t>
            </w:r>
          </w:p>
        </w:tc>
        <w:tc>
          <w:tcPr>
            <w:tcW w:w="684" w:type="dxa"/>
            <w:shd w:val="clear" w:color="auto" w:fill="auto"/>
            <w:vAlign w:val="center"/>
          </w:tcPr>
          <w:p w14:paraId="29F56BC6">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0</w:t>
            </w:r>
          </w:p>
        </w:tc>
        <w:tc>
          <w:tcPr>
            <w:tcW w:w="692" w:type="dxa"/>
            <w:shd w:val="clear" w:color="auto" w:fill="auto"/>
            <w:vAlign w:val="center"/>
          </w:tcPr>
          <w:p w14:paraId="33A1CDCB">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0</w:t>
            </w:r>
          </w:p>
        </w:tc>
        <w:tc>
          <w:tcPr>
            <w:tcW w:w="623" w:type="dxa"/>
            <w:shd w:val="clear" w:color="auto" w:fill="auto"/>
            <w:vAlign w:val="center"/>
          </w:tcPr>
          <w:p w14:paraId="6C40A3C1">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否</w:t>
            </w:r>
          </w:p>
        </w:tc>
        <w:tc>
          <w:tcPr>
            <w:tcW w:w="1673" w:type="dxa"/>
            <w:shd w:val="clear" w:color="auto" w:fill="auto"/>
            <w:vAlign w:val="center"/>
          </w:tcPr>
          <w:p w14:paraId="20F4C46B">
            <w:pPr>
              <w:widowControl/>
              <w:spacing w:line="240" w:lineRule="exac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养老、助餐、文化休闲、社区服务等</w:t>
            </w:r>
          </w:p>
        </w:tc>
      </w:tr>
      <w:tr w14:paraId="5F50D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435" w:type="dxa"/>
            <w:shd w:val="clear" w:color="auto" w:fill="auto"/>
            <w:vAlign w:val="center"/>
          </w:tcPr>
          <w:p w14:paraId="3B40138C">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w:t>
            </w:r>
          </w:p>
        </w:tc>
        <w:tc>
          <w:tcPr>
            <w:tcW w:w="1691" w:type="dxa"/>
            <w:shd w:val="clear" w:color="auto" w:fill="auto"/>
            <w:vAlign w:val="center"/>
          </w:tcPr>
          <w:p w14:paraId="2EA2CEBA">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千灯镇秦峰社区嵌入式服务综合体</w:t>
            </w:r>
          </w:p>
          <w:p w14:paraId="1783E8D9">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(社区服务中心)</w:t>
            </w:r>
          </w:p>
        </w:tc>
        <w:tc>
          <w:tcPr>
            <w:tcW w:w="623" w:type="dxa"/>
            <w:shd w:val="clear" w:color="auto" w:fill="auto"/>
            <w:vAlign w:val="center"/>
          </w:tcPr>
          <w:p w14:paraId="02C57755">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改</w:t>
            </w:r>
          </w:p>
          <w:p w14:paraId="10A06DC4">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扩建</w:t>
            </w:r>
          </w:p>
        </w:tc>
        <w:tc>
          <w:tcPr>
            <w:tcW w:w="1126" w:type="dxa"/>
            <w:shd w:val="clear" w:color="auto" w:fill="auto"/>
            <w:vAlign w:val="center"/>
          </w:tcPr>
          <w:p w14:paraId="48AFBFE6">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千灯镇</w:t>
            </w:r>
          </w:p>
          <w:p w14:paraId="0CC81D26">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秦峰社区</w:t>
            </w:r>
          </w:p>
        </w:tc>
        <w:tc>
          <w:tcPr>
            <w:tcW w:w="707" w:type="dxa"/>
            <w:shd w:val="clear" w:color="auto" w:fill="auto"/>
            <w:vAlign w:val="center"/>
          </w:tcPr>
          <w:p w14:paraId="6D0490D0">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930</w:t>
            </w:r>
          </w:p>
        </w:tc>
        <w:tc>
          <w:tcPr>
            <w:tcW w:w="624" w:type="dxa"/>
            <w:shd w:val="clear" w:color="auto" w:fill="auto"/>
            <w:vAlign w:val="center"/>
          </w:tcPr>
          <w:p w14:paraId="4EC5C6CC">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2025</w:t>
            </w:r>
          </w:p>
        </w:tc>
        <w:tc>
          <w:tcPr>
            <w:tcW w:w="624" w:type="dxa"/>
            <w:shd w:val="clear" w:color="auto" w:fill="auto"/>
            <w:vAlign w:val="center"/>
          </w:tcPr>
          <w:p w14:paraId="272CEA3E">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2025</w:t>
            </w:r>
          </w:p>
        </w:tc>
        <w:tc>
          <w:tcPr>
            <w:tcW w:w="831" w:type="dxa"/>
            <w:shd w:val="clear" w:color="auto" w:fill="auto"/>
            <w:vAlign w:val="center"/>
          </w:tcPr>
          <w:p w14:paraId="3F62993D">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51</w:t>
            </w:r>
          </w:p>
        </w:tc>
        <w:tc>
          <w:tcPr>
            <w:tcW w:w="2654" w:type="dxa"/>
            <w:shd w:val="clear" w:color="auto" w:fill="auto"/>
            <w:vAlign w:val="center"/>
          </w:tcPr>
          <w:p w14:paraId="5F046251">
            <w:pPr>
              <w:widowControl/>
              <w:spacing w:line="240" w:lineRule="exac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建设集养老、助餐、健康诊疗、体育健身文化休闲、儿童游憩等一体的社区综合服务中心。</w:t>
            </w:r>
          </w:p>
        </w:tc>
        <w:tc>
          <w:tcPr>
            <w:tcW w:w="562" w:type="dxa"/>
            <w:shd w:val="clear" w:color="auto" w:fill="auto"/>
            <w:vAlign w:val="center"/>
          </w:tcPr>
          <w:p w14:paraId="5E5984B6">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w:t>
            </w:r>
          </w:p>
        </w:tc>
        <w:tc>
          <w:tcPr>
            <w:tcW w:w="684" w:type="dxa"/>
            <w:shd w:val="clear" w:color="auto" w:fill="auto"/>
            <w:vAlign w:val="center"/>
          </w:tcPr>
          <w:p w14:paraId="38BC56CF">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18000</w:t>
            </w:r>
          </w:p>
        </w:tc>
        <w:tc>
          <w:tcPr>
            <w:tcW w:w="966" w:type="dxa"/>
            <w:shd w:val="clear" w:color="auto" w:fill="auto"/>
            <w:vAlign w:val="center"/>
          </w:tcPr>
          <w:p w14:paraId="749632A3">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930</w:t>
            </w:r>
          </w:p>
        </w:tc>
        <w:tc>
          <w:tcPr>
            <w:tcW w:w="684" w:type="dxa"/>
            <w:shd w:val="clear" w:color="auto" w:fill="auto"/>
            <w:vAlign w:val="center"/>
          </w:tcPr>
          <w:p w14:paraId="6E117BFC">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0</w:t>
            </w:r>
          </w:p>
        </w:tc>
        <w:tc>
          <w:tcPr>
            <w:tcW w:w="692" w:type="dxa"/>
            <w:shd w:val="clear" w:color="auto" w:fill="auto"/>
            <w:vAlign w:val="center"/>
          </w:tcPr>
          <w:p w14:paraId="2FAEAEB7">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0</w:t>
            </w:r>
          </w:p>
        </w:tc>
        <w:tc>
          <w:tcPr>
            <w:tcW w:w="623" w:type="dxa"/>
            <w:shd w:val="clear" w:color="auto" w:fill="auto"/>
            <w:vAlign w:val="center"/>
          </w:tcPr>
          <w:p w14:paraId="62C7AA4D">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否</w:t>
            </w:r>
          </w:p>
        </w:tc>
        <w:tc>
          <w:tcPr>
            <w:tcW w:w="1673" w:type="dxa"/>
            <w:shd w:val="clear" w:color="auto" w:fill="auto"/>
            <w:vAlign w:val="center"/>
          </w:tcPr>
          <w:p w14:paraId="1A49462A">
            <w:pPr>
              <w:widowControl/>
              <w:spacing w:line="240" w:lineRule="exact"/>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rPr>
              <w:t>养老、社区、健康服务 、体育健身 、文化休闲、儿童游憩</w:t>
            </w:r>
            <w:r>
              <w:rPr>
                <w:rFonts w:hint="default" w:ascii="Times New Roman" w:hAnsi="Times New Roman" w:eastAsia="宋体" w:cs="Times New Roman"/>
                <w:color w:val="auto"/>
                <w:kern w:val="0"/>
                <w:sz w:val="18"/>
                <w:szCs w:val="18"/>
                <w:highlight w:val="none"/>
                <w:lang w:val="en-US" w:eastAsia="zh-CN"/>
              </w:rPr>
              <w:t>等</w:t>
            </w:r>
          </w:p>
        </w:tc>
      </w:tr>
      <w:tr w14:paraId="09A2E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435" w:type="dxa"/>
            <w:shd w:val="clear" w:color="auto" w:fill="auto"/>
            <w:vAlign w:val="center"/>
          </w:tcPr>
          <w:p w14:paraId="006AE1B7">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w:t>
            </w:r>
          </w:p>
        </w:tc>
        <w:tc>
          <w:tcPr>
            <w:tcW w:w="1691" w:type="dxa"/>
            <w:shd w:val="clear" w:color="auto" w:fill="auto"/>
            <w:vAlign w:val="center"/>
          </w:tcPr>
          <w:p w14:paraId="1DBC9154">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淀山湖镇</w:t>
            </w:r>
          </w:p>
          <w:p w14:paraId="524D6B86">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香馨社区社区食堂</w:t>
            </w:r>
          </w:p>
        </w:tc>
        <w:tc>
          <w:tcPr>
            <w:tcW w:w="623" w:type="dxa"/>
            <w:shd w:val="clear" w:color="auto" w:fill="auto"/>
            <w:vAlign w:val="center"/>
          </w:tcPr>
          <w:p w14:paraId="1E1E2A7B">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新建</w:t>
            </w:r>
          </w:p>
        </w:tc>
        <w:tc>
          <w:tcPr>
            <w:tcW w:w="1126" w:type="dxa"/>
            <w:shd w:val="clear" w:color="auto" w:fill="auto"/>
            <w:vAlign w:val="center"/>
          </w:tcPr>
          <w:p w14:paraId="01D346D7">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淀山湖镇</w:t>
            </w:r>
          </w:p>
          <w:p w14:paraId="147FF7C6">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人民政府</w:t>
            </w:r>
          </w:p>
        </w:tc>
        <w:tc>
          <w:tcPr>
            <w:tcW w:w="707" w:type="dxa"/>
            <w:shd w:val="clear" w:color="auto" w:fill="auto"/>
            <w:vAlign w:val="center"/>
          </w:tcPr>
          <w:p w14:paraId="40231AF0">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400</w:t>
            </w:r>
          </w:p>
        </w:tc>
        <w:tc>
          <w:tcPr>
            <w:tcW w:w="624" w:type="dxa"/>
            <w:shd w:val="clear" w:color="auto" w:fill="auto"/>
            <w:vAlign w:val="center"/>
          </w:tcPr>
          <w:p w14:paraId="0582BB87">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2025</w:t>
            </w:r>
          </w:p>
        </w:tc>
        <w:tc>
          <w:tcPr>
            <w:tcW w:w="624" w:type="dxa"/>
            <w:shd w:val="clear" w:color="auto" w:fill="auto"/>
            <w:vAlign w:val="center"/>
          </w:tcPr>
          <w:p w14:paraId="6E8413BF">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2025</w:t>
            </w:r>
          </w:p>
        </w:tc>
        <w:tc>
          <w:tcPr>
            <w:tcW w:w="831" w:type="dxa"/>
            <w:shd w:val="clear" w:color="auto" w:fill="auto"/>
            <w:vAlign w:val="center"/>
          </w:tcPr>
          <w:p w14:paraId="100A29C2">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50</w:t>
            </w:r>
          </w:p>
        </w:tc>
        <w:tc>
          <w:tcPr>
            <w:tcW w:w="2654" w:type="dxa"/>
            <w:shd w:val="clear" w:color="auto" w:fill="auto"/>
            <w:vAlign w:val="center"/>
          </w:tcPr>
          <w:p w14:paraId="0A701C0E">
            <w:pPr>
              <w:widowControl/>
              <w:spacing w:line="240" w:lineRule="exac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新建社区食堂，提供老年人、助残、新就业群体就餐等。</w:t>
            </w:r>
          </w:p>
        </w:tc>
        <w:tc>
          <w:tcPr>
            <w:tcW w:w="562" w:type="dxa"/>
            <w:shd w:val="clear" w:color="auto" w:fill="auto"/>
            <w:vAlign w:val="center"/>
          </w:tcPr>
          <w:p w14:paraId="4EA49246">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全镇范围</w:t>
            </w:r>
          </w:p>
        </w:tc>
        <w:tc>
          <w:tcPr>
            <w:tcW w:w="684" w:type="dxa"/>
            <w:shd w:val="clear" w:color="auto" w:fill="auto"/>
            <w:vAlign w:val="center"/>
          </w:tcPr>
          <w:p w14:paraId="1EB0153E">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全镇范围</w:t>
            </w:r>
          </w:p>
        </w:tc>
        <w:tc>
          <w:tcPr>
            <w:tcW w:w="966" w:type="dxa"/>
            <w:shd w:val="clear" w:color="auto" w:fill="auto"/>
            <w:vAlign w:val="center"/>
          </w:tcPr>
          <w:p w14:paraId="53D31C4C">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400</w:t>
            </w:r>
          </w:p>
        </w:tc>
        <w:tc>
          <w:tcPr>
            <w:tcW w:w="684" w:type="dxa"/>
            <w:shd w:val="clear" w:color="auto" w:fill="auto"/>
            <w:vAlign w:val="center"/>
          </w:tcPr>
          <w:p w14:paraId="5453BEFC">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0</w:t>
            </w:r>
          </w:p>
        </w:tc>
        <w:tc>
          <w:tcPr>
            <w:tcW w:w="692" w:type="dxa"/>
            <w:shd w:val="clear" w:color="auto" w:fill="auto"/>
            <w:vAlign w:val="center"/>
          </w:tcPr>
          <w:p w14:paraId="399EF2C4">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0</w:t>
            </w:r>
          </w:p>
        </w:tc>
        <w:tc>
          <w:tcPr>
            <w:tcW w:w="623" w:type="dxa"/>
            <w:shd w:val="clear" w:color="auto" w:fill="auto"/>
            <w:vAlign w:val="center"/>
          </w:tcPr>
          <w:p w14:paraId="74F7B040">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是</w:t>
            </w:r>
          </w:p>
        </w:tc>
        <w:tc>
          <w:tcPr>
            <w:tcW w:w="1673" w:type="dxa"/>
            <w:shd w:val="clear" w:color="auto" w:fill="auto"/>
            <w:vAlign w:val="center"/>
          </w:tcPr>
          <w:p w14:paraId="60AD24E9">
            <w:pPr>
              <w:widowControl/>
              <w:spacing w:line="240" w:lineRule="exac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val="en-US" w:eastAsia="zh-CN"/>
              </w:rPr>
              <w:t>养老、助餐</w:t>
            </w:r>
            <w:r>
              <w:rPr>
                <w:rFonts w:hint="default" w:ascii="Times New Roman" w:hAnsi="Times New Roman" w:eastAsia="宋体" w:cs="Times New Roman"/>
                <w:color w:val="auto"/>
                <w:kern w:val="0"/>
                <w:sz w:val="18"/>
                <w:szCs w:val="18"/>
                <w:highlight w:val="none"/>
              </w:rPr>
              <w:t>、老年人助残、新就业群体就餐等</w:t>
            </w:r>
          </w:p>
        </w:tc>
      </w:tr>
      <w:tr w14:paraId="720DD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435" w:type="dxa"/>
            <w:shd w:val="clear" w:color="auto" w:fill="auto"/>
            <w:vAlign w:val="center"/>
          </w:tcPr>
          <w:p w14:paraId="1FD4EBE4">
            <w:pPr>
              <w:widowControl/>
              <w:spacing w:line="240" w:lineRule="exact"/>
              <w:jc w:val="center"/>
              <w:textAlignment w:val="center"/>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color w:val="auto"/>
                <w:kern w:val="0"/>
                <w:sz w:val="18"/>
                <w:szCs w:val="18"/>
                <w:highlight w:val="none"/>
              </w:rPr>
              <w:t>26</w:t>
            </w:r>
          </w:p>
        </w:tc>
        <w:tc>
          <w:tcPr>
            <w:tcW w:w="1691" w:type="dxa"/>
            <w:shd w:val="clear" w:color="auto" w:fill="auto"/>
            <w:vAlign w:val="center"/>
          </w:tcPr>
          <w:p w14:paraId="643AD0EC">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淀山湖镇</w:t>
            </w:r>
          </w:p>
          <w:p w14:paraId="0A7BFDEA">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淀湖社区社区食堂</w:t>
            </w:r>
          </w:p>
        </w:tc>
        <w:tc>
          <w:tcPr>
            <w:tcW w:w="623" w:type="dxa"/>
            <w:shd w:val="clear" w:color="auto" w:fill="auto"/>
            <w:vAlign w:val="center"/>
          </w:tcPr>
          <w:p w14:paraId="2D0C1C92">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新建</w:t>
            </w:r>
          </w:p>
        </w:tc>
        <w:tc>
          <w:tcPr>
            <w:tcW w:w="1126" w:type="dxa"/>
            <w:shd w:val="clear" w:color="auto" w:fill="auto"/>
            <w:vAlign w:val="center"/>
          </w:tcPr>
          <w:p w14:paraId="119D4603">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淀山湖镇</w:t>
            </w:r>
          </w:p>
          <w:p w14:paraId="0448E82E">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人民政府</w:t>
            </w:r>
          </w:p>
        </w:tc>
        <w:tc>
          <w:tcPr>
            <w:tcW w:w="707" w:type="dxa"/>
            <w:shd w:val="clear" w:color="auto" w:fill="auto"/>
            <w:vAlign w:val="center"/>
          </w:tcPr>
          <w:p w14:paraId="300EB805">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200</w:t>
            </w:r>
          </w:p>
        </w:tc>
        <w:tc>
          <w:tcPr>
            <w:tcW w:w="624" w:type="dxa"/>
            <w:shd w:val="clear" w:color="auto" w:fill="auto"/>
            <w:vAlign w:val="center"/>
          </w:tcPr>
          <w:p w14:paraId="04E2AD9C">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2025</w:t>
            </w:r>
          </w:p>
        </w:tc>
        <w:tc>
          <w:tcPr>
            <w:tcW w:w="624" w:type="dxa"/>
            <w:shd w:val="clear" w:color="auto" w:fill="auto"/>
            <w:vAlign w:val="center"/>
          </w:tcPr>
          <w:p w14:paraId="1F5E6305">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2025</w:t>
            </w:r>
          </w:p>
        </w:tc>
        <w:tc>
          <w:tcPr>
            <w:tcW w:w="831" w:type="dxa"/>
            <w:shd w:val="clear" w:color="auto" w:fill="auto"/>
            <w:vAlign w:val="center"/>
          </w:tcPr>
          <w:p w14:paraId="6F784906">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50</w:t>
            </w:r>
          </w:p>
        </w:tc>
        <w:tc>
          <w:tcPr>
            <w:tcW w:w="2654" w:type="dxa"/>
            <w:shd w:val="clear" w:color="auto" w:fill="auto"/>
            <w:vAlign w:val="center"/>
          </w:tcPr>
          <w:p w14:paraId="062AABDD">
            <w:pPr>
              <w:widowControl/>
              <w:spacing w:line="240" w:lineRule="exac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新建社区食堂，提供老年人、助残、新就业群体就餐等。</w:t>
            </w:r>
          </w:p>
        </w:tc>
        <w:tc>
          <w:tcPr>
            <w:tcW w:w="562" w:type="dxa"/>
            <w:shd w:val="clear" w:color="auto" w:fill="auto"/>
            <w:vAlign w:val="center"/>
          </w:tcPr>
          <w:p w14:paraId="452DF22F">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全镇范围</w:t>
            </w:r>
          </w:p>
        </w:tc>
        <w:tc>
          <w:tcPr>
            <w:tcW w:w="684" w:type="dxa"/>
            <w:shd w:val="clear" w:color="auto" w:fill="auto"/>
            <w:vAlign w:val="center"/>
          </w:tcPr>
          <w:p w14:paraId="5435E113">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全镇范围</w:t>
            </w:r>
          </w:p>
        </w:tc>
        <w:tc>
          <w:tcPr>
            <w:tcW w:w="966" w:type="dxa"/>
            <w:shd w:val="clear" w:color="auto" w:fill="auto"/>
            <w:vAlign w:val="center"/>
          </w:tcPr>
          <w:p w14:paraId="01FEFF5E">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200</w:t>
            </w:r>
          </w:p>
        </w:tc>
        <w:tc>
          <w:tcPr>
            <w:tcW w:w="684" w:type="dxa"/>
            <w:shd w:val="clear" w:color="auto" w:fill="auto"/>
            <w:vAlign w:val="center"/>
          </w:tcPr>
          <w:p w14:paraId="2CB7A4F0">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0</w:t>
            </w:r>
          </w:p>
        </w:tc>
        <w:tc>
          <w:tcPr>
            <w:tcW w:w="692" w:type="dxa"/>
            <w:shd w:val="clear" w:color="auto" w:fill="auto"/>
            <w:vAlign w:val="center"/>
          </w:tcPr>
          <w:p w14:paraId="5EF5AA61">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0</w:t>
            </w:r>
          </w:p>
        </w:tc>
        <w:tc>
          <w:tcPr>
            <w:tcW w:w="623" w:type="dxa"/>
            <w:shd w:val="clear" w:color="auto" w:fill="auto"/>
            <w:vAlign w:val="center"/>
          </w:tcPr>
          <w:p w14:paraId="7788160D">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是</w:t>
            </w:r>
          </w:p>
        </w:tc>
        <w:tc>
          <w:tcPr>
            <w:tcW w:w="1673" w:type="dxa"/>
            <w:shd w:val="clear" w:color="auto" w:fill="auto"/>
            <w:vAlign w:val="center"/>
          </w:tcPr>
          <w:p w14:paraId="28AC130E">
            <w:pPr>
              <w:widowControl/>
              <w:spacing w:line="240" w:lineRule="exac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val="en-US" w:eastAsia="zh-CN"/>
              </w:rPr>
              <w:t>养老、助餐</w:t>
            </w:r>
            <w:r>
              <w:rPr>
                <w:rFonts w:hint="default" w:ascii="Times New Roman" w:hAnsi="Times New Roman" w:eastAsia="宋体" w:cs="Times New Roman"/>
                <w:color w:val="auto"/>
                <w:kern w:val="0"/>
                <w:sz w:val="18"/>
                <w:szCs w:val="18"/>
                <w:highlight w:val="none"/>
              </w:rPr>
              <w:t>、老年人助残、新就业群体就餐等</w:t>
            </w:r>
          </w:p>
        </w:tc>
      </w:tr>
      <w:tr w14:paraId="6CB08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435" w:type="dxa"/>
            <w:shd w:val="clear" w:color="auto" w:fill="auto"/>
            <w:vAlign w:val="center"/>
          </w:tcPr>
          <w:p w14:paraId="11204DE2">
            <w:pPr>
              <w:widowControl/>
              <w:spacing w:line="240" w:lineRule="exact"/>
              <w:jc w:val="center"/>
              <w:textAlignment w:val="center"/>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color w:val="auto"/>
                <w:kern w:val="0"/>
                <w:sz w:val="18"/>
                <w:szCs w:val="18"/>
                <w:highlight w:val="none"/>
              </w:rPr>
              <w:t>27</w:t>
            </w:r>
          </w:p>
        </w:tc>
        <w:tc>
          <w:tcPr>
            <w:tcW w:w="1691" w:type="dxa"/>
            <w:shd w:val="clear" w:color="auto" w:fill="auto"/>
            <w:vAlign w:val="center"/>
          </w:tcPr>
          <w:p w14:paraId="22A03714">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淀山湖镇南苑湖</w:t>
            </w:r>
          </w:p>
          <w:p w14:paraId="39D1F0FA">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社区嵌入式托育</w:t>
            </w:r>
          </w:p>
        </w:tc>
        <w:tc>
          <w:tcPr>
            <w:tcW w:w="623" w:type="dxa"/>
            <w:shd w:val="clear" w:color="auto" w:fill="auto"/>
            <w:vAlign w:val="center"/>
          </w:tcPr>
          <w:p w14:paraId="68BE1303">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新建</w:t>
            </w:r>
          </w:p>
        </w:tc>
        <w:tc>
          <w:tcPr>
            <w:tcW w:w="1126" w:type="dxa"/>
            <w:shd w:val="clear" w:color="auto" w:fill="auto"/>
            <w:vAlign w:val="center"/>
          </w:tcPr>
          <w:p w14:paraId="539D97BB">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淀山湖镇</w:t>
            </w:r>
          </w:p>
          <w:p w14:paraId="38F5DC76">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人民政府</w:t>
            </w:r>
          </w:p>
        </w:tc>
        <w:tc>
          <w:tcPr>
            <w:tcW w:w="707" w:type="dxa"/>
            <w:shd w:val="clear" w:color="auto" w:fill="auto"/>
            <w:vAlign w:val="center"/>
          </w:tcPr>
          <w:p w14:paraId="6E5F54EC">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120</w:t>
            </w:r>
          </w:p>
        </w:tc>
        <w:tc>
          <w:tcPr>
            <w:tcW w:w="624" w:type="dxa"/>
            <w:shd w:val="clear" w:color="auto" w:fill="auto"/>
            <w:vAlign w:val="center"/>
          </w:tcPr>
          <w:p w14:paraId="1376C993">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2025</w:t>
            </w:r>
          </w:p>
        </w:tc>
        <w:tc>
          <w:tcPr>
            <w:tcW w:w="624" w:type="dxa"/>
            <w:shd w:val="clear" w:color="auto" w:fill="auto"/>
            <w:vAlign w:val="center"/>
          </w:tcPr>
          <w:p w14:paraId="6798C464">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2025</w:t>
            </w:r>
          </w:p>
        </w:tc>
        <w:tc>
          <w:tcPr>
            <w:tcW w:w="831" w:type="dxa"/>
            <w:shd w:val="clear" w:color="auto" w:fill="auto"/>
            <w:vAlign w:val="center"/>
          </w:tcPr>
          <w:p w14:paraId="3D2C3B23">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30</w:t>
            </w:r>
          </w:p>
        </w:tc>
        <w:tc>
          <w:tcPr>
            <w:tcW w:w="2654" w:type="dxa"/>
            <w:shd w:val="clear" w:color="auto" w:fill="auto"/>
            <w:vAlign w:val="center"/>
          </w:tcPr>
          <w:p w14:paraId="232B5610">
            <w:pPr>
              <w:widowControl/>
              <w:spacing w:line="240" w:lineRule="exac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新建儿童托育点位</w:t>
            </w:r>
            <w:r>
              <w:rPr>
                <w:rFonts w:hint="default" w:ascii="Times New Roman" w:hAnsi="Times New Roman" w:eastAsia="宋体" w:cs="Times New Roman"/>
                <w:color w:val="auto"/>
                <w:kern w:val="0"/>
                <w:sz w:val="18"/>
                <w:szCs w:val="18"/>
                <w:highlight w:val="none"/>
                <w:lang w:eastAsia="zh-CN"/>
              </w:rPr>
              <w:t>，</w:t>
            </w:r>
            <w:r>
              <w:rPr>
                <w:rFonts w:hint="default" w:ascii="Times New Roman" w:hAnsi="Times New Roman" w:eastAsia="宋体" w:cs="Times New Roman"/>
                <w:color w:val="auto"/>
                <w:kern w:val="0"/>
                <w:sz w:val="18"/>
                <w:szCs w:val="18"/>
                <w:highlight w:val="none"/>
                <w:lang w:val="en-US" w:eastAsia="zh-CN"/>
              </w:rPr>
              <w:t>提供儿童社区托育等</w:t>
            </w:r>
            <w:r>
              <w:rPr>
                <w:rFonts w:hint="default" w:ascii="Times New Roman" w:hAnsi="Times New Roman" w:eastAsia="宋体" w:cs="Times New Roman"/>
                <w:color w:val="auto"/>
                <w:kern w:val="0"/>
                <w:sz w:val="18"/>
                <w:szCs w:val="18"/>
                <w:highlight w:val="none"/>
              </w:rPr>
              <w:t>。</w:t>
            </w:r>
          </w:p>
        </w:tc>
        <w:tc>
          <w:tcPr>
            <w:tcW w:w="562" w:type="dxa"/>
            <w:shd w:val="clear" w:color="auto" w:fill="auto"/>
            <w:vAlign w:val="center"/>
          </w:tcPr>
          <w:p w14:paraId="0A00EEFB">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全镇范围</w:t>
            </w:r>
          </w:p>
        </w:tc>
        <w:tc>
          <w:tcPr>
            <w:tcW w:w="684" w:type="dxa"/>
            <w:shd w:val="clear" w:color="auto" w:fill="auto"/>
            <w:vAlign w:val="center"/>
          </w:tcPr>
          <w:p w14:paraId="57997EBE">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0-3岁儿童</w:t>
            </w:r>
          </w:p>
        </w:tc>
        <w:tc>
          <w:tcPr>
            <w:tcW w:w="966" w:type="dxa"/>
            <w:shd w:val="clear" w:color="auto" w:fill="auto"/>
            <w:vAlign w:val="center"/>
          </w:tcPr>
          <w:p w14:paraId="5171C0E2">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120</w:t>
            </w:r>
          </w:p>
        </w:tc>
        <w:tc>
          <w:tcPr>
            <w:tcW w:w="684" w:type="dxa"/>
            <w:shd w:val="clear" w:color="auto" w:fill="auto"/>
            <w:vAlign w:val="center"/>
          </w:tcPr>
          <w:p w14:paraId="730F3181">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0</w:t>
            </w:r>
          </w:p>
        </w:tc>
        <w:tc>
          <w:tcPr>
            <w:tcW w:w="692" w:type="dxa"/>
            <w:shd w:val="clear" w:color="auto" w:fill="auto"/>
            <w:vAlign w:val="center"/>
          </w:tcPr>
          <w:p w14:paraId="7394BD41">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0</w:t>
            </w:r>
          </w:p>
        </w:tc>
        <w:tc>
          <w:tcPr>
            <w:tcW w:w="623" w:type="dxa"/>
            <w:shd w:val="clear" w:color="auto" w:fill="auto"/>
            <w:vAlign w:val="center"/>
          </w:tcPr>
          <w:p w14:paraId="368BED92">
            <w:pPr>
              <w:widowControl/>
              <w:spacing w:line="24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是</w:t>
            </w:r>
          </w:p>
        </w:tc>
        <w:tc>
          <w:tcPr>
            <w:tcW w:w="1673" w:type="dxa"/>
            <w:shd w:val="clear" w:color="auto" w:fill="auto"/>
            <w:vAlign w:val="center"/>
          </w:tcPr>
          <w:p w14:paraId="40829ABA">
            <w:pPr>
              <w:widowControl/>
              <w:spacing w:line="240" w:lineRule="exact"/>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rPr>
              <w:t>儿童托</w:t>
            </w:r>
            <w:r>
              <w:rPr>
                <w:rFonts w:hint="default" w:ascii="Times New Roman" w:hAnsi="Times New Roman" w:eastAsia="宋体" w:cs="Times New Roman"/>
                <w:color w:val="auto"/>
                <w:kern w:val="0"/>
                <w:sz w:val="18"/>
                <w:szCs w:val="18"/>
                <w:highlight w:val="none"/>
                <w:lang w:val="en-US" w:eastAsia="zh-CN"/>
              </w:rPr>
              <w:t>育</w:t>
            </w:r>
          </w:p>
        </w:tc>
      </w:tr>
      <w:tr w14:paraId="38F07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435" w:type="dxa"/>
            <w:shd w:val="clear" w:color="auto" w:fill="auto"/>
            <w:vAlign w:val="center"/>
          </w:tcPr>
          <w:p w14:paraId="00D22CFA">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28</w:t>
            </w:r>
          </w:p>
        </w:tc>
        <w:tc>
          <w:tcPr>
            <w:tcW w:w="1691" w:type="dxa"/>
            <w:shd w:val="clear" w:color="auto" w:fill="auto"/>
            <w:vAlign w:val="center"/>
          </w:tcPr>
          <w:p w14:paraId="50E7566D">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锦溪花园社区嵌入式服务综合体</w:t>
            </w:r>
          </w:p>
          <w:p w14:paraId="170F869B">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（社区服务中心）</w:t>
            </w:r>
          </w:p>
        </w:tc>
        <w:tc>
          <w:tcPr>
            <w:tcW w:w="623" w:type="dxa"/>
            <w:shd w:val="clear" w:color="auto" w:fill="auto"/>
            <w:vAlign w:val="center"/>
          </w:tcPr>
          <w:p w14:paraId="2E453808">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改</w:t>
            </w:r>
          </w:p>
          <w:p w14:paraId="37FD39E4">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扩建</w:t>
            </w:r>
          </w:p>
        </w:tc>
        <w:tc>
          <w:tcPr>
            <w:tcW w:w="1126" w:type="dxa"/>
            <w:shd w:val="clear" w:color="auto" w:fill="auto"/>
            <w:vAlign w:val="center"/>
          </w:tcPr>
          <w:p w14:paraId="62717FA8">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锦溪镇</w:t>
            </w:r>
          </w:p>
          <w:p w14:paraId="509E4D34">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人民政府</w:t>
            </w:r>
          </w:p>
        </w:tc>
        <w:tc>
          <w:tcPr>
            <w:tcW w:w="707" w:type="dxa"/>
            <w:shd w:val="clear" w:color="auto" w:fill="auto"/>
            <w:vAlign w:val="center"/>
          </w:tcPr>
          <w:p w14:paraId="5F850EBB">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1500</w:t>
            </w:r>
          </w:p>
        </w:tc>
        <w:tc>
          <w:tcPr>
            <w:tcW w:w="624" w:type="dxa"/>
            <w:shd w:val="clear" w:color="auto" w:fill="auto"/>
            <w:vAlign w:val="center"/>
          </w:tcPr>
          <w:p w14:paraId="5F2D865A">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2024</w:t>
            </w:r>
          </w:p>
        </w:tc>
        <w:tc>
          <w:tcPr>
            <w:tcW w:w="624" w:type="dxa"/>
            <w:shd w:val="clear" w:color="auto" w:fill="auto"/>
            <w:vAlign w:val="center"/>
          </w:tcPr>
          <w:p w14:paraId="2957314F">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2025</w:t>
            </w:r>
          </w:p>
        </w:tc>
        <w:tc>
          <w:tcPr>
            <w:tcW w:w="831" w:type="dxa"/>
            <w:shd w:val="clear" w:color="auto" w:fill="auto"/>
            <w:vAlign w:val="center"/>
          </w:tcPr>
          <w:p w14:paraId="475D6786">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500</w:t>
            </w:r>
          </w:p>
        </w:tc>
        <w:tc>
          <w:tcPr>
            <w:tcW w:w="2654" w:type="dxa"/>
            <w:shd w:val="clear" w:color="auto" w:fill="auto"/>
            <w:vAlign w:val="center"/>
          </w:tcPr>
          <w:p w14:paraId="5A215321">
            <w:pPr>
              <w:widowControl/>
              <w:spacing w:line="240" w:lineRule="exac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建设集养老、助餐、托幼、体育健身、文化休闲、儿童游憩等功能于一体的社区综合服务中心。</w:t>
            </w:r>
          </w:p>
        </w:tc>
        <w:tc>
          <w:tcPr>
            <w:tcW w:w="562" w:type="dxa"/>
            <w:shd w:val="clear" w:color="auto" w:fill="auto"/>
            <w:vAlign w:val="center"/>
          </w:tcPr>
          <w:p w14:paraId="08DEFDA0">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2</w:t>
            </w:r>
          </w:p>
        </w:tc>
        <w:tc>
          <w:tcPr>
            <w:tcW w:w="684" w:type="dxa"/>
            <w:shd w:val="clear" w:color="auto" w:fill="auto"/>
            <w:vAlign w:val="center"/>
          </w:tcPr>
          <w:p w14:paraId="6CC11581">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5500</w:t>
            </w:r>
          </w:p>
        </w:tc>
        <w:tc>
          <w:tcPr>
            <w:tcW w:w="966" w:type="dxa"/>
            <w:shd w:val="clear" w:color="auto" w:fill="auto"/>
            <w:vAlign w:val="center"/>
          </w:tcPr>
          <w:p w14:paraId="558A6DD3">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1500</w:t>
            </w:r>
          </w:p>
        </w:tc>
        <w:tc>
          <w:tcPr>
            <w:tcW w:w="684" w:type="dxa"/>
            <w:shd w:val="clear" w:color="auto" w:fill="auto"/>
            <w:vAlign w:val="center"/>
          </w:tcPr>
          <w:p w14:paraId="154E84B9">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0</w:t>
            </w:r>
          </w:p>
        </w:tc>
        <w:tc>
          <w:tcPr>
            <w:tcW w:w="692" w:type="dxa"/>
            <w:shd w:val="clear" w:color="auto" w:fill="auto"/>
            <w:vAlign w:val="center"/>
          </w:tcPr>
          <w:p w14:paraId="16D2F263">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0</w:t>
            </w:r>
          </w:p>
        </w:tc>
        <w:tc>
          <w:tcPr>
            <w:tcW w:w="623" w:type="dxa"/>
            <w:shd w:val="clear" w:color="auto" w:fill="auto"/>
            <w:vAlign w:val="center"/>
          </w:tcPr>
          <w:p w14:paraId="7A199945">
            <w:pPr>
              <w:widowControl/>
              <w:spacing w:line="24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否</w:t>
            </w:r>
          </w:p>
        </w:tc>
        <w:tc>
          <w:tcPr>
            <w:tcW w:w="1673" w:type="dxa"/>
            <w:shd w:val="clear" w:color="auto" w:fill="auto"/>
            <w:vAlign w:val="center"/>
          </w:tcPr>
          <w:p w14:paraId="77732C08">
            <w:pPr>
              <w:widowControl/>
              <w:spacing w:line="240" w:lineRule="exac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养老、社区助餐、文化体育、托幼、儿童游憩</w:t>
            </w:r>
          </w:p>
        </w:tc>
      </w:tr>
    </w:tbl>
    <w:p w14:paraId="60E03244">
      <w:pPr>
        <w:spacing w:line="20" w:lineRule="atLeast"/>
        <w:rPr>
          <w:rFonts w:hint="default" w:ascii="Times New Roman" w:hAnsi="Times New Roman" w:eastAsia="仿宋_GB2312" w:cs="Times New Roman"/>
          <w:snapToGrid w:val="0"/>
          <w:color w:val="auto"/>
          <w:spacing w:val="0"/>
          <w:kern w:val="0"/>
          <w:szCs w:val="32"/>
          <w:highlight w:val="none"/>
        </w:rPr>
      </w:pPr>
    </w:p>
    <w:sectPr>
      <w:pgSz w:w="16838" w:h="11906" w:orient="landscape"/>
      <w:pgMar w:top="1800" w:right="1440" w:bottom="1800" w:left="1440" w:header="851" w:footer="992" w:gutter="0"/>
      <w:pgNumType w:fmt="decimal"/>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E8537F6-7688-492F-91DA-7C4E2159316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鼎CS仿宋体">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2" w:fontKey="{25779651-DFFD-4E0A-BA4C-145D420641C1}"/>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3" w:fontKey="{FABA1EE3-6155-4EE8-8986-8EAD09DB24FC}"/>
  </w:font>
  <w:font w:name="等线">
    <w:panose1 w:val="02010600030101010101"/>
    <w:charset w:val="86"/>
    <w:family w:val="auto"/>
    <w:pitch w:val="default"/>
    <w:sig w:usb0="A00002BF" w:usb1="38CF7CFA" w:usb2="00000016" w:usb3="00000000" w:csb0="0004000F" w:csb1="00000000"/>
    <w:embedRegular r:id="rId4" w:fontKey="{18F8B0F2-0672-47A1-8884-AC68A0E2B1C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82D9C">
    <w:pPr>
      <w:pStyle w:val="3"/>
      <w:tabs>
        <w:tab w:val="center" w:pos="4422"/>
        <w:tab w:val="clear" w:pos="4153"/>
      </w:tabs>
      <w:rPr>
        <w:sz w:val="32"/>
        <w:szCs w:val="3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B8059B9">
                          <w:pPr>
                            <w:pStyle w:val="3"/>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B8059B9">
                    <w:pPr>
                      <w:pStyle w:val="3"/>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BFDE81"/>
    <w:multiLevelType w:val="singleLevel"/>
    <w:tmpl w:val="3DBFDE81"/>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56"/>
  <w:drawingGridVerticalSpacing w:val="435"/>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63A47"/>
    <w:rsid w:val="000E19B6"/>
    <w:rsid w:val="00172A27"/>
    <w:rsid w:val="001876B8"/>
    <w:rsid w:val="001B46AE"/>
    <w:rsid w:val="002C0D81"/>
    <w:rsid w:val="00456B8E"/>
    <w:rsid w:val="004D4B98"/>
    <w:rsid w:val="00601A99"/>
    <w:rsid w:val="006169BF"/>
    <w:rsid w:val="006A068C"/>
    <w:rsid w:val="00885001"/>
    <w:rsid w:val="008F7D71"/>
    <w:rsid w:val="009A1E55"/>
    <w:rsid w:val="00AB2870"/>
    <w:rsid w:val="00B31C94"/>
    <w:rsid w:val="00B46499"/>
    <w:rsid w:val="00BA5751"/>
    <w:rsid w:val="00BE3F2C"/>
    <w:rsid w:val="00D47CC4"/>
    <w:rsid w:val="00DF7F4B"/>
    <w:rsid w:val="00E33654"/>
    <w:rsid w:val="00E6778A"/>
    <w:rsid w:val="00E70EEB"/>
    <w:rsid w:val="00E93C4A"/>
    <w:rsid w:val="00F2753F"/>
    <w:rsid w:val="00FA71C8"/>
    <w:rsid w:val="01BE047E"/>
    <w:rsid w:val="02977F0F"/>
    <w:rsid w:val="0347723B"/>
    <w:rsid w:val="03F90AE6"/>
    <w:rsid w:val="040C7782"/>
    <w:rsid w:val="04FD37EF"/>
    <w:rsid w:val="054B5371"/>
    <w:rsid w:val="06A21599"/>
    <w:rsid w:val="06AD6BA9"/>
    <w:rsid w:val="06EA3BC7"/>
    <w:rsid w:val="08E13F7A"/>
    <w:rsid w:val="08FB5DFE"/>
    <w:rsid w:val="0906702E"/>
    <w:rsid w:val="0B5F3DC4"/>
    <w:rsid w:val="0C084D12"/>
    <w:rsid w:val="0C4D5A81"/>
    <w:rsid w:val="0D5B4F3E"/>
    <w:rsid w:val="0ECC7E56"/>
    <w:rsid w:val="0FBA6C5D"/>
    <w:rsid w:val="0FE07C54"/>
    <w:rsid w:val="10E5667A"/>
    <w:rsid w:val="116E041E"/>
    <w:rsid w:val="11DB0C82"/>
    <w:rsid w:val="12E759CF"/>
    <w:rsid w:val="1328019A"/>
    <w:rsid w:val="14902DA1"/>
    <w:rsid w:val="14D2329B"/>
    <w:rsid w:val="164C2CF7"/>
    <w:rsid w:val="18263D36"/>
    <w:rsid w:val="1FD02380"/>
    <w:rsid w:val="21D06A21"/>
    <w:rsid w:val="21D32465"/>
    <w:rsid w:val="234C1F09"/>
    <w:rsid w:val="23D9206E"/>
    <w:rsid w:val="244D65B8"/>
    <w:rsid w:val="24F86A7D"/>
    <w:rsid w:val="25AD5480"/>
    <w:rsid w:val="25F07D6A"/>
    <w:rsid w:val="267973BE"/>
    <w:rsid w:val="27840D89"/>
    <w:rsid w:val="285D2B42"/>
    <w:rsid w:val="289C366A"/>
    <w:rsid w:val="29C0782D"/>
    <w:rsid w:val="2A735E2F"/>
    <w:rsid w:val="2AB7478C"/>
    <w:rsid w:val="2C04131F"/>
    <w:rsid w:val="2DBD47AF"/>
    <w:rsid w:val="2DFA155F"/>
    <w:rsid w:val="2E006D50"/>
    <w:rsid w:val="312071B2"/>
    <w:rsid w:val="33527366"/>
    <w:rsid w:val="33B80F9F"/>
    <w:rsid w:val="34B722B2"/>
    <w:rsid w:val="353424CC"/>
    <w:rsid w:val="35C02A99"/>
    <w:rsid w:val="35F5093A"/>
    <w:rsid w:val="363925D5"/>
    <w:rsid w:val="38105A72"/>
    <w:rsid w:val="38FE732B"/>
    <w:rsid w:val="398C77B6"/>
    <w:rsid w:val="3AFA2251"/>
    <w:rsid w:val="3BAB3E99"/>
    <w:rsid w:val="3C11442E"/>
    <w:rsid w:val="3C6E4D87"/>
    <w:rsid w:val="3D910776"/>
    <w:rsid w:val="3F254009"/>
    <w:rsid w:val="40351E18"/>
    <w:rsid w:val="429F3A96"/>
    <w:rsid w:val="42EC0908"/>
    <w:rsid w:val="442F526C"/>
    <w:rsid w:val="4570225F"/>
    <w:rsid w:val="46C7182E"/>
    <w:rsid w:val="487E1A6D"/>
    <w:rsid w:val="49891669"/>
    <w:rsid w:val="4ABA1F50"/>
    <w:rsid w:val="4B5C6037"/>
    <w:rsid w:val="4B991276"/>
    <w:rsid w:val="4D16313C"/>
    <w:rsid w:val="4D4203D5"/>
    <w:rsid w:val="4DD3168B"/>
    <w:rsid w:val="4E2875CB"/>
    <w:rsid w:val="4E5722CC"/>
    <w:rsid w:val="4FD878A5"/>
    <w:rsid w:val="51125021"/>
    <w:rsid w:val="515661FD"/>
    <w:rsid w:val="516B73C7"/>
    <w:rsid w:val="523F3135"/>
    <w:rsid w:val="52BE405A"/>
    <w:rsid w:val="53010D88"/>
    <w:rsid w:val="53073C53"/>
    <w:rsid w:val="54022119"/>
    <w:rsid w:val="54980796"/>
    <w:rsid w:val="570E45A3"/>
    <w:rsid w:val="590F7F2E"/>
    <w:rsid w:val="59287D7D"/>
    <w:rsid w:val="595A7550"/>
    <w:rsid w:val="59681DD9"/>
    <w:rsid w:val="5A840583"/>
    <w:rsid w:val="5B89229B"/>
    <w:rsid w:val="5B975D90"/>
    <w:rsid w:val="5ED263FE"/>
    <w:rsid w:val="5FFC2665"/>
    <w:rsid w:val="62EA49F7"/>
    <w:rsid w:val="658B178D"/>
    <w:rsid w:val="65AC7C33"/>
    <w:rsid w:val="664C4142"/>
    <w:rsid w:val="664F5002"/>
    <w:rsid w:val="67020A40"/>
    <w:rsid w:val="692E7D33"/>
    <w:rsid w:val="6B2A452A"/>
    <w:rsid w:val="6B60712A"/>
    <w:rsid w:val="6BEE6E65"/>
    <w:rsid w:val="6C2F1731"/>
    <w:rsid w:val="6CFB590C"/>
    <w:rsid w:val="6D4D4500"/>
    <w:rsid w:val="6E21381F"/>
    <w:rsid w:val="706C6525"/>
    <w:rsid w:val="70A21FF4"/>
    <w:rsid w:val="71CD79E6"/>
    <w:rsid w:val="765F2190"/>
    <w:rsid w:val="76795A93"/>
    <w:rsid w:val="76FD6D8A"/>
    <w:rsid w:val="78340810"/>
    <w:rsid w:val="7AC44A84"/>
    <w:rsid w:val="7B2A3852"/>
    <w:rsid w:val="7BF737B1"/>
    <w:rsid w:val="7C5E5DE2"/>
    <w:rsid w:val="7E1B4BCD"/>
    <w:rsid w:val="7F054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文鼎CS仿宋体" w:cs="Times New Roman"/>
      <w:spacing w:val="-4"/>
      <w:kern w:val="2"/>
      <w:sz w:val="32"/>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styleId="3">
    <w:name w:val="footer"/>
    <w:basedOn w:val="1"/>
    <w:link w:val="16"/>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Autospacing="1" w:afterAutospacing="1"/>
      <w:jc w:val="left"/>
    </w:pPr>
    <w:rPr>
      <w:kern w:val="0"/>
      <w:sz w:val="24"/>
    </w:rPr>
  </w:style>
  <w:style w:type="table" w:styleId="7">
    <w:name w:val="Table Grid"/>
    <w:basedOn w:val="6"/>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rPr>
  </w:style>
  <w:style w:type="character" w:styleId="10">
    <w:name w:val="FollowedHyperlink"/>
    <w:basedOn w:val="8"/>
    <w:semiHidden/>
    <w:unhideWhenUsed/>
    <w:qFormat/>
    <w:uiPriority w:val="99"/>
    <w:rPr>
      <w:color w:val="800080" w:themeColor="followedHyperlink"/>
      <w:u w:val="single"/>
      <w14:textFill>
        <w14:solidFill>
          <w14:schemeClr w14:val="folHlink"/>
        </w14:solidFill>
      </w14:textFill>
    </w:rPr>
  </w:style>
  <w:style w:type="character" w:styleId="11">
    <w:name w:val="Emphasis"/>
    <w:qFormat/>
    <w:uiPriority w:val="20"/>
    <w:rPr>
      <w:i/>
      <w:iCs/>
    </w:rPr>
  </w:style>
  <w:style w:type="character" w:styleId="12">
    <w:name w:val="Hyperlink"/>
    <w:semiHidden/>
    <w:unhideWhenUsed/>
    <w:qFormat/>
    <w:uiPriority w:val="99"/>
    <w:rPr>
      <w:color w:val="0000FF"/>
      <w:u w:val="single"/>
    </w:rPr>
  </w:style>
  <w:style w:type="paragraph" w:styleId="13">
    <w:name w:val="List Paragraph"/>
    <w:basedOn w:val="1"/>
    <w:qFormat/>
    <w:uiPriority w:val="34"/>
    <w:pPr>
      <w:ind w:firstLine="420" w:firstLineChars="200"/>
    </w:pPr>
    <w:rPr>
      <w:rFonts w:ascii="Calibri" w:hAnsi="Calibri" w:eastAsia="宋体"/>
      <w:spacing w:val="0"/>
      <w:sz w:val="21"/>
      <w:szCs w:val="22"/>
    </w:rPr>
  </w:style>
  <w:style w:type="paragraph" w:customStyle="1" w:styleId="14">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15">
    <w:name w:val="页眉 Char"/>
    <w:basedOn w:val="8"/>
    <w:link w:val="4"/>
    <w:qFormat/>
    <w:uiPriority w:val="99"/>
    <w:rPr>
      <w:rFonts w:ascii="Times New Roman" w:hAnsi="Times New Roman" w:eastAsia="文鼎CS仿宋体" w:cs="Times New Roman"/>
      <w:spacing w:val="-4"/>
      <w:sz w:val="18"/>
      <w:szCs w:val="18"/>
    </w:rPr>
  </w:style>
  <w:style w:type="character" w:customStyle="1" w:styleId="16">
    <w:name w:val="页脚 Char"/>
    <w:basedOn w:val="8"/>
    <w:link w:val="3"/>
    <w:qFormat/>
    <w:uiPriority w:val="99"/>
    <w:rPr>
      <w:rFonts w:ascii="Times New Roman" w:hAnsi="Times New Roman" w:eastAsia="文鼎CS仿宋体" w:cs="Times New Roman"/>
      <w:spacing w:val="-4"/>
      <w:sz w:val="18"/>
      <w:szCs w:val="18"/>
    </w:rPr>
  </w:style>
  <w:style w:type="paragraph" w:customStyle="1" w:styleId="17">
    <w:name w:val="_Style 12"/>
    <w:unhideWhenUsed/>
    <w:qFormat/>
    <w:uiPriority w:val="99"/>
    <w:pPr>
      <w:widowControl w:val="0"/>
      <w:jc w:val="both"/>
    </w:pPr>
    <w:rPr>
      <w:rFonts w:ascii="Times New Roman" w:hAnsi="Times New Roman" w:eastAsia="文鼎CS仿宋体" w:cs="Times New Roman"/>
      <w:spacing w:val="-4"/>
      <w:kern w:val="2"/>
      <w:sz w:val="32"/>
      <w:szCs w:val="24"/>
      <w:lang w:val="en-US" w:eastAsia="zh-CN" w:bidi="ar-SA"/>
    </w:rPr>
  </w:style>
  <w:style w:type="paragraph" w:customStyle="1" w:styleId="18">
    <w:name w:val="font5"/>
    <w:basedOn w:val="1"/>
    <w:qFormat/>
    <w:uiPriority w:val="0"/>
    <w:pPr>
      <w:widowControl/>
      <w:spacing w:before="100" w:beforeAutospacing="1" w:after="100" w:afterAutospacing="1"/>
      <w:jc w:val="left"/>
    </w:pPr>
    <w:rPr>
      <w:rFonts w:ascii="宋体" w:hAnsi="宋体" w:eastAsia="宋体" w:cs="宋体"/>
      <w:b/>
      <w:bCs/>
      <w:color w:val="000000"/>
      <w:spacing w:val="0"/>
      <w:kern w:val="0"/>
      <w:sz w:val="24"/>
    </w:rPr>
  </w:style>
  <w:style w:type="paragraph" w:customStyle="1" w:styleId="19">
    <w:name w:val="font6"/>
    <w:basedOn w:val="1"/>
    <w:qFormat/>
    <w:uiPriority w:val="0"/>
    <w:pPr>
      <w:widowControl/>
      <w:spacing w:before="100" w:beforeAutospacing="1" w:after="100" w:afterAutospacing="1"/>
      <w:jc w:val="left"/>
    </w:pPr>
    <w:rPr>
      <w:rFonts w:ascii="宋体" w:hAnsi="宋体" w:eastAsia="宋体" w:cs="宋体"/>
      <w:b/>
      <w:bCs/>
      <w:color w:val="000000"/>
      <w:spacing w:val="0"/>
      <w:kern w:val="0"/>
      <w:sz w:val="24"/>
    </w:rPr>
  </w:style>
  <w:style w:type="paragraph" w:customStyle="1" w:styleId="20">
    <w:name w:val="font7"/>
    <w:basedOn w:val="1"/>
    <w:qFormat/>
    <w:uiPriority w:val="0"/>
    <w:pPr>
      <w:widowControl/>
      <w:spacing w:before="100" w:beforeAutospacing="1" w:after="100" w:afterAutospacing="1"/>
      <w:jc w:val="left"/>
    </w:pPr>
    <w:rPr>
      <w:rFonts w:eastAsia="宋体"/>
      <w:b/>
      <w:bCs/>
      <w:color w:val="000000"/>
      <w:spacing w:val="0"/>
      <w:kern w:val="0"/>
      <w:sz w:val="24"/>
    </w:rPr>
  </w:style>
  <w:style w:type="paragraph" w:customStyle="1" w:styleId="21">
    <w:name w:val="font8"/>
    <w:basedOn w:val="1"/>
    <w:qFormat/>
    <w:uiPriority w:val="0"/>
    <w:pPr>
      <w:widowControl/>
      <w:spacing w:before="100" w:beforeAutospacing="1" w:after="100" w:afterAutospacing="1"/>
      <w:jc w:val="left"/>
    </w:pPr>
    <w:rPr>
      <w:rFonts w:ascii="宋体" w:hAnsi="宋体" w:eastAsia="宋体" w:cs="宋体"/>
      <w:b/>
      <w:bCs/>
      <w:color w:val="000000"/>
      <w:spacing w:val="0"/>
      <w:kern w:val="0"/>
      <w:sz w:val="24"/>
    </w:rPr>
  </w:style>
  <w:style w:type="paragraph" w:customStyle="1" w:styleId="22">
    <w:name w:val="font9"/>
    <w:basedOn w:val="1"/>
    <w:qFormat/>
    <w:uiPriority w:val="0"/>
    <w:pPr>
      <w:widowControl/>
      <w:spacing w:before="100" w:beforeAutospacing="1" w:after="100" w:afterAutospacing="1"/>
      <w:jc w:val="left"/>
    </w:pPr>
    <w:rPr>
      <w:rFonts w:eastAsia="宋体"/>
      <w:b/>
      <w:bCs/>
      <w:color w:val="000000"/>
      <w:spacing w:val="0"/>
      <w:kern w:val="0"/>
      <w:sz w:val="24"/>
    </w:rPr>
  </w:style>
  <w:style w:type="paragraph" w:customStyle="1" w:styleId="2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spacing w:val="0"/>
      <w:kern w:val="0"/>
      <w:sz w:val="24"/>
    </w:rPr>
  </w:style>
  <w:style w:type="paragraph" w:customStyle="1" w:styleId="24">
    <w:name w:val="xl67"/>
    <w:basedOn w:val="1"/>
    <w:qFormat/>
    <w:uiPriority w:val="0"/>
    <w:pPr>
      <w:widowControl/>
      <w:spacing w:before="100" w:beforeAutospacing="1" w:after="100" w:afterAutospacing="1"/>
      <w:jc w:val="center"/>
      <w:textAlignment w:val="center"/>
    </w:pPr>
    <w:rPr>
      <w:rFonts w:ascii="宋体" w:hAnsi="宋体" w:eastAsia="宋体" w:cs="宋体"/>
      <w:spacing w:val="0"/>
      <w:kern w:val="0"/>
      <w:sz w:val="24"/>
    </w:rPr>
  </w:style>
  <w:style w:type="paragraph" w:customStyle="1" w:styleId="2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pacing w:val="0"/>
      <w:kern w:val="0"/>
      <w:sz w:val="24"/>
    </w:rPr>
  </w:style>
  <w:style w:type="paragraph" w:customStyle="1" w:styleId="2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spacing w:val="0"/>
      <w:kern w:val="0"/>
      <w:sz w:val="24"/>
    </w:rPr>
  </w:style>
  <w:style w:type="paragraph" w:customStyle="1" w:styleId="2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spacing w:val="0"/>
      <w:kern w:val="0"/>
      <w:sz w:val="24"/>
    </w:rPr>
  </w:style>
  <w:style w:type="paragraph" w:customStyle="1" w:styleId="2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spacing w:val="0"/>
      <w:kern w:val="0"/>
      <w:sz w:val="24"/>
    </w:rPr>
  </w:style>
  <w:style w:type="paragraph" w:customStyle="1" w:styleId="29">
    <w:name w:val="xl7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eastAsia="宋体" w:cs="宋体"/>
      <w:spacing w:val="0"/>
      <w:kern w:val="0"/>
      <w:sz w:val="24"/>
    </w:rPr>
  </w:style>
  <w:style w:type="paragraph" w:customStyle="1" w:styleId="3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spacing w:val="0"/>
      <w:kern w:val="0"/>
      <w:sz w:val="24"/>
    </w:rPr>
  </w:style>
  <w:style w:type="paragraph" w:customStyle="1" w:styleId="31">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spacing w:val="0"/>
      <w:kern w:val="0"/>
      <w:sz w:val="24"/>
    </w:rPr>
  </w:style>
  <w:style w:type="paragraph" w:customStyle="1" w:styleId="32">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spacing w:val="0"/>
      <w:kern w:val="0"/>
      <w:sz w:val="24"/>
    </w:rPr>
  </w:style>
  <w:style w:type="paragraph" w:customStyle="1" w:styleId="3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spacing w:val="0"/>
      <w:kern w:val="0"/>
      <w:sz w:val="24"/>
    </w:rPr>
  </w:style>
  <w:style w:type="paragraph" w:customStyle="1" w:styleId="34">
    <w:name w:val="xl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cs="宋体"/>
      <w:color w:val="000000"/>
      <w:spacing w:val="0"/>
      <w:kern w:val="0"/>
      <w:sz w:val="24"/>
    </w:rPr>
  </w:style>
  <w:style w:type="paragraph" w:customStyle="1" w:styleId="35">
    <w:name w:val="xl7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spacing w:val="0"/>
      <w:kern w:val="0"/>
      <w:sz w:val="24"/>
    </w:rPr>
  </w:style>
  <w:style w:type="paragraph" w:customStyle="1" w:styleId="36">
    <w:name w:val="xl7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cs="宋体"/>
      <w:spacing w:val="0"/>
      <w:kern w:val="0"/>
      <w:sz w:val="24"/>
    </w:rPr>
  </w:style>
  <w:style w:type="paragraph" w:customStyle="1" w:styleId="37">
    <w:name w:val="xl8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eastAsia="宋体" w:cs="宋体"/>
      <w:color w:val="000000"/>
      <w:spacing w:val="0"/>
      <w:kern w:val="0"/>
      <w:sz w:val="24"/>
    </w:rPr>
  </w:style>
  <w:style w:type="paragraph" w:customStyle="1" w:styleId="38">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pacing w:val="0"/>
      <w:kern w:val="0"/>
      <w:sz w:val="24"/>
    </w:rPr>
  </w:style>
  <w:style w:type="paragraph" w:customStyle="1" w:styleId="3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spacing w:val="0"/>
      <w:kern w:val="0"/>
      <w:sz w:val="24"/>
    </w:rPr>
  </w:style>
  <w:style w:type="paragraph" w:customStyle="1" w:styleId="40">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spacing w:val="0"/>
      <w:kern w:val="0"/>
      <w:sz w:val="24"/>
    </w:rPr>
  </w:style>
  <w:style w:type="paragraph" w:customStyle="1" w:styleId="41">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spacing w:val="0"/>
      <w:kern w:val="0"/>
      <w:sz w:val="24"/>
    </w:rPr>
  </w:style>
  <w:style w:type="paragraph" w:customStyle="1" w:styleId="42">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spacing w:val="0"/>
      <w:kern w:val="0"/>
      <w:sz w:val="24"/>
    </w:rPr>
  </w:style>
  <w:style w:type="paragraph" w:customStyle="1" w:styleId="43">
    <w:name w:val="xl8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cs="宋体"/>
      <w:color w:val="000000"/>
      <w:spacing w:val="0"/>
      <w:kern w:val="0"/>
      <w:sz w:val="24"/>
    </w:rPr>
  </w:style>
  <w:style w:type="paragraph" w:customStyle="1" w:styleId="44">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spacing w:val="0"/>
      <w:kern w:val="0"/>
      <w:sz w:val="24"/>
    </w:rPr>
  </w:style>
  <w:style w:type="paragraph" w:customStyle="1" w:styleId="45">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spacing w:val="0"/>
      <w:kern w:val="0"/>
      <w:sz w:val="24"/>
    </w:rPr>
  </w:style>
  <w:style w:type="paragraph" w:customStyle="1" w:styleId="46">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spacing w:val="0"/>
      <w:kern w:val="0"/>
      <w:sz w:val="24"/>
    </w:rPr>
  </w:style>
  <w:style w:type="paragraph" w:customStyle="1" w:styleId="47">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spacing w:val="0"/>
      <w:kern w:val="0"/>
      <w:sz w:val="24"/>
    </w:rPr>
  </w:style>
  <w:style w:type="paragraph" w:customStyle="1" w:styleId="48">
    <w:name w:val="xl9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spacing w:val="0"/>
      <w:kern w:val="0"/>
      <w:sz w:val="24"/>
    </w:rPr>
  </w:style>
  <w:style w:type="paragraph" w:customStyle="1" w:styleId="49">
    <w:name w:val="xl9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spacing w:val="0"/>
      <w:kern w:val="0"/>
      <w:sz w:val="24"/>
    </w:rPr>
  </w:style>
  <w:style w:type="paragraph" w:customStyle="1" w:styleId="50">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pacing w:val="0"/>
      <w:kern w:val="0"/>
      <w:sz w:val="24"/>
    </w:rPr>
  </w:style>
  <w:style w:type="paragraph" w:customStyle="1" w:styleId="51">
    <w:name w:val="xl94"/>
    <w:basedOn w:val="1"/>
    <w:qFormat/>
    <w:uiPriority w:val="0"/>
    <w:pPr>
      <w:widowControl/>
      <w:spacing w:before="100" w:beforeAutospacing="1" w:after="100" w:afterAutospacing="1"/>
      <w:jc w:val="center"/>
      <w:textAlignment w:val="center"/>
    </w:pPr>
    <w:rPr>
      <w:rFonts w:ascii="方正小标宋简体" w:hAnsi="宋体" w:eastAsia="方正小标宋简体" w:cs="宋体"/>
      <w:color w:val="000000"/>
      <w:spacing w:val="0"/>
      <w:kern w:val="0"/>
      <w:sz w:val="40"/>
      <w:szCs w:val="40"/>
    </w:rPr>
  </w:style>
  <w:style w:type="paragraph" w:customStyle="1" w:styleId="52">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b/>
      <w:bCs/>
      <w:color w:val="000000"/>
      <w:spacing w:val="0"/>
      <w:kern w:val="0"/>
      <w:sz w:val="24"/>
    </w:rPr>
  </w:style>
  <w:style w:type="paragraph" w:customStyle="1" w:styleId="53">
    <w:name w:val="xl9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spacing w:val="0"/>
      <w:kern w:val="0"/>
      <w:sz w:val="24"/>
    </w:rPr>
  </w:style>
  <w:style w:type="paragraph" w:customStyle="1" w:styleId="54">
    <w:name w:val="xl97"/>
    <w:basedOn w:val="1"/>
    <w:qFormat/>
    <w:uiPriority w:val="0"/>
    <w:pPr>
      <w:widowControl/>
      <w:pBdr>
        <w:top w:val="single" w:color="auto" w:sz="4" w:space="0"/>
        <w:left w:val="single" w:color="000000" w:sz="4" w:space="0"/>
        <w:right w:val="single" w:color="auto" w:sz="4" w:space="0"/>
      </w:pBdr>
      <w:spacing w:before="100" w:beforeAutospacing="1" w:after="100" w:afterAutospacing="1"/>
      <w:jc w:val="center"/>
      <w:textAlignment w:val="center"/>
    </w:pPr>
    <w:rPr>
      <w:rFonts w:ascii="宋体" w:hAnsi="宋体" w:eastAsia="宋体" w:cs="宋体"/>
      <w:spacing w:val="0"/>
      <w:kern w:val="0"/>
      <w:sz w:val="24"/>
    </w:rPr>
  </w:style>
  <w:style w:type="paragraph" w:customStyle="1" w:styleId="55">
    <w:name w:val="xl98"/>
    <w:basedOn w:val="1"/>
    <w:qFormat/>
    <w:uiPriority w:val="0"/>
    <w:pPr>
      <w:widowControl/>
      <w:pBdr>
        <w:left w:val="single" w:color="000000" w:sz="4" w:space="0"/>
        <w:right w:val="single" w:color="auto" w:sz="4" w:space="0"/>
      </w:pBdr>
      <w:spacing w:before="100" w:beforeAutospacing="1" w:after="100" w:afterAutospacing="1"/>
      <w:jc w:val="center"/>
      <w:textAlignment w:val="center"/>
    </w:pPr>
    <w:rPr>
      <w:rFonts w:ascii="宋体" w:hAnsi="宋体" w:eastAsia="宋体" w:cs="宋体"/>
      <w:spacing w:val="0"/>
      <w:kern w:val="0"/>
      <w:sz w:val="24"/>
    </w:rPr>
  </w:style>
  <w:style w:type="paragraph" w:customStyle="1" w:styleId="56">
    <w:name w:val="xl99"/>
    <w:basedOn w:val="1"/>
    <w:qFormat/>
    <w:uiPriority w:val="0"/>
    <w:pPr>
      <w:widowControl/>
      <w:pBdr>
        <w:left w:val="single" w:color="000000"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spacing w:val="0"/>
      <w:kern w:val="0"/>
      <w:sz w:val="24"/>
    </w:rPr>
  </w:style>
  <w:style w:type="paragraph" w:customStyle="1" w:styleId="57">
    <w:name w:val="xl100"/>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spacing w:val="0"/>
      <w:kern w:val="0"/>
      <w:sz w:val="24"/>
    </w:rPr>
  </w:style>
  <w:style w:type="paragraph" w:customStyle="1" w:styleId="58">
    <w:name w:val="font10"/>
    <w:basedOn w:val="1"/>
    <w:qFormat/>
    <w:uiPriority w:val="0"/>
    <w:pPr>
      <w:widowControl/>
      <w:spacing w:before="100" w:beforeAutospacing="1" w:after="100" w:afterAutospacing="1"/>
      <w:jc w:val="left"/>
    </w:pPr>
    <w:rPr>
      <w:rFonts w:ascii="宋体" w:hAnsi="宋体" w:eastAsia="宋体" w:cs="宋体"/>
      <w:spacing w:val="0"/>
      <w:kern w:val="0"/>
      <w:sz w:val="20"/>
      <w:szCs w:val="20"/>
    </w:rPr>
  </w:style>
  <w:style w:type="paragraph" w:customStyle="1" w:styleId="59">
    <w:name w:val="font11"/>
    <w:basedOn w:val="1"/>
    <w:qFormat/>
    <w:uiPriority w:val="0"/>
    <w:pPr>
      <w:widowControl/>
      <w:spacing w:before="100" w:beforeAutospacing="1" w:after="100" w:afterAutospacing="1"/>
      <w:jc w:val="left"/>
    </w:pPr>
    <w:rPr>
      <w:rFonts w:ascii="宋体" w:hAnsi="宋体" w:eastAsia="宋体" w:cs="宋体"/>
      <w:b/>
      <w:bCs/>
      <w:color w:val="000000"/>
      <w:spacing w:val="0"/>
      <w:kern w:val="0"/>
      <w:sz w:val="24"/>
    </w:rPr>
  </w:style>
  <w:style w:type="paragraph" w:customStyle="1" w:styleId="60">
    <w:name w:val="font12"/>
    <w:basedOn w:val="1"/>
    <w:qFormat/>
    <w:uiPriority w:val="0"/>
    <w:pPr>
      <w:widowControl/>
      <w:spacing w:before="100" w:beforeAutospacing="1" w:after="100" w:afterAutospacing="1"/>
      <w:jc w:val="left"/>
    </w:pPr>
    <w:rPr>
      <w:rFonts w:eastAsia="宋体"/>
      <w:b/>
      <w:bCs/>
      <w:color w:val="000000"/>
      <w:spacing w:val="0"/>
      <w:kern w:val="0"/>
      <w:sz w:val="24"/>
    </w:rPr>
  </w:style>
  <w:style w:type="paragraph" w:customStyle="1" w:styleId="61">
    <w:name w:val="font13"/>
    <w:basedOn w:val="1"/>
    <w:qFormat/>
    <w:uiPriority w:val="0"/>
    <w:pPr>
      <w:widowControl/>
      <w:spacing w:before="100" w:beforeAutospacing="1" w:after="100" w:afterAutospacing="1"/>
      <w:jc w:val="left"/>
    </w:pPr>
    <w:rPr>
      <w:rFonts w:eastAsia="宋体"/>
      <w:spacing w:val="0"/>
      <w:kern w:val="0"/>
      <w:sz w:val="24"/>
    </w:rPr>
  </w:style>
  <w:style w:type="paragraph" w:customStyle="1" w:styleId="62">
    <w:name w:val="font14"/>
    <w:basedOn w:val="1"/>
    <w:qFormat/>
    <w:uiPriority w:val="0"/>
    <w:pPr>
      <w:widowControl/>
      <w:spacing w:before="100" w:beforeAutospacing="1" w:after="100" w:afterAutospacing="1"/>
      <w:jc w:val="left"/>
    </w:pPr>
    <w:rPr>
      <w:rFonts w:eastAsia="宋体"/>
      <w:color w:val="000000"/>
      <w:spacing w:val="0"/>
      <w:kern w:val="0"/>
      <w:sz w:val="24"/>
    </w:rPr>
  </w:style>
  <w:style w:type="paragraph" w:customStyle="1" w:styleId="63">
    <w:name w:val="_Style 59"/>
    <w:unhideWhenUsed/>
    <w:qFormat/>
    <w:uiPriority w:val="99"/>
    <w:rPr>
      <w:rFonts w:asciiTheme="minorHAnsi" w:hAnsiTheme="minorHAnsi" w:eastAsiaTheme="minorEastAsia" w:cstheme="minorBidi"/>
      <w:kern w:val="2"/>
      <w:sz w:val="21"/>
      <w:szCs w:val="22"/>
      <w:lang w:val="en-US" w:eastAsia="zh-CN" w:bidi="ar-SA"/>
    </w:rPr>
  </w:style>
  <w:style w:type="character" w:customStyle="1" w:styleId="64">
    <w:name w:val="font21"/>
    <w:basedOn w:val="8"/>
    <w:qFormat/>
    <w:uiPriority w:val="0"/>
    <w:rPr>
      <w:rFonts w:hint="default" w:ascii="Times New Roman" w:hAnsi="Times New Roman" w:cs="Times New Roman"/>
      <w:b/>
      <w:bCs/>
      <w:color w:val="000000"/>
      <w:sz w:val="24"/>
      <w:szCs w:val="24"/>
      <w:u w:val="none"/>
    </w:rPr>
  </w:style>
  <w:style w:type="character" w:customStyle="1" w:styleId="65">
    <w:name w:val="font71"/>
    <w:basedOn w:val="8"/>
    <w:qFormat/>
    <w:uiPriority w:val="0"/>
    <w:rPr>
      <w:rFonts w:hint="default" w:ascii="Times New Roman" w:hAnsi="Times New Roman" w:cs="Times New Roman"/>
      <w:color w:val="000000"/>
      <w:sz w:val="24"/>
      <w:szCs w:val="24"/>
      <w:u w:val="none"/>
      <w:vertAlign w:val="superscript"/>
    </w:rPr>
  </w:style>
  <w:style w:type="character" w:customStyle="1" w:styleId="66">
    <w:name w:val="font41"/>
    <w:basedOn w:val="8"/>
    <w:qFormat/>
    <w:uiPriority w:val="0"/>
    <w:rPr>
      <w:rFonts w:hint="eastAsia" w:ascii="宋体" w:hAnsi="宋体" w:eastAsia="宋体" w:cs="宋体"/>
      <w:color w:val="000000"/>
      <w:sz w:val="24"/>
      <w:szCs w:val="24"/>
      <w:u w:val="none"/>
    </w:rPr>
  </w:style>
  <w:style w:type="character" w:customStyle="1" w:styleId="67">
    <w:name w:val="font01"/>
    <w:basedOn w:val="8"/>
    <w:qFormat/>
    <w:uiPriority w:val="0"/>
    <w:rPr>
      <w:rFonts w:hint="eastAsia" w:ascii="宋体" w:hAnsi="宋体" w:eastAsia="宋体" w:cs="宋体"/>
      <w:color w:val="000000"/>
      <w:sz w:val="22"/>
      <w:szCs w:val="22"/>
      <w:u w:val="none"/>
    </w:rPr>
  </w:style>
  <w:style w:type="character" w:customStyle="1" w:styleId="68">
    <w:name w:val="font51"/>
    <w:basedOn w:val="8"/>
    <w:qFormat/>
    <w:uiPriority w:val="0"/>
    <w:rPr>
      <w:rFonts w:hint="eastAsia" w:ascii="宋体" w:hAnsi="宋体" w:eastAsia="宋体" w:cs="宋体"/>
      <w:color w:val="000000"/>
      <w:sz w:val="20"/>
      <w:szCs w:val="20"/>
      <w:u w:val="none"/>
    </w:rPr>
  </w:style>
  <w:style w:type="character" w:customStyle="1" w:styleId="69">
    <w:name w:val="font31"/>
    <w:basedOn w:val="8"/>
    <w:qFormat/>
    <w:uiPriority w:val="0"/>
    <w:rPr>
      <w:rFonts w:hint="default" w:ascii="Times New Roman" w:hAnsi="Times New Roman" w:cs="Times New Roman"/>
      <w:color w:val="000000"/>
      <w:sz w:val="20"/>
      <w:szCs w:val="20"/>
      <w:u w:val="none"/>
    </w:rPr>
  </w:style>
  <w:style w:type="character" w:customStyle="1" w:styleId="70">
    <w:name w:val="font61"/>
    <w:basedOn w:val="8"/>
    <w:qFormat/>
    <w:uiPriority w:val="0"/>
    <w:rPr>
      <w:rFonts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6784</Words>
  <Characters>7684</Characters>
  <Lines>83</Lines>
  <Paragraphs>23</Paragraphs>
  <TotalTime>133</TotalTime>
  <ScaleCrop>false</ScaleCrop>
  <LinksUpToDate>false</LinksUpToDate>
  <CharactersWithSpaces>7691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2024-10-29T02:48:00Z</dcterms:created>
  <dc:creator>顾馨瑶</dc:creator>
  <cp:lastModifiedBy>沈雪笛</cp:lastModifiedBy>
  <cp:lastPrinted>2025-03-05T03:57:00Z</cp:lastPrinted>
  <dcterms:modified xsi:type="dcterms:W3CDTF">2025-04-22T08:32:46Z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eyJoZGlkIjoiMTA2ZmQ3Y2Y5ZTJiNTdjMmEzOTZhZDQzMjVlOGZkMTQiLCJ1c2VySWQiOiIyMTM5NDgzNDYifQ==</vt:lpwstr>
  </property>
  <property fmtid="{D5CDD505-2E9C-101B-9397-08002B2CF9AE}" pid="3" name="KSOProductBuildVer">
    <vt:lpwstr>2052-12.1.0.20784</vt:lpwstr>
  </property>
  <property fmtid="{D5CDD505-2E9C-101B-9397-08002B2CF9AE}" pid="4" name="ICV">
    <vt:lpwstr>B649BF3176A340DC9DF39591F2BB29AA_13</vt:lpwstr>
  </property>
</Properties>
</file>