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69A0C">
      <w:pPr>
        <w:spacing w:line="600" w:lineRule="exact"/>
        <w:jc w:val="center"/>
        <w:rPr>
          <w:rFonts w:eastAsia="方正小标宋简体"/>
          <w:bCs/>
          <w:sz w:val="44"/>
          <w:szCs w:val="44"/>
        </w:rPr>
      </w:pPr>
    </w:p>
    <w:p w14:paraId="1675E898">
      <w:pPr>
        <w:spacing w:line="600" w:lineRule="exact"/>
        <w:jc w:val="center"/>
        <w:rPr>
          <w:rFonts w:eastAsia="方正小标宋简体"/>
          <w:bCs/>
          <w:sz w:val="44"/>
          <w:szCs w:val="44"/>
        </w:rPr>
      </w:pPr>
      <w:r>
        <w:rPr>
          <w:rFonts w:eastAsia="方正小标宋简体"/>
          <w:bCs/>
          <w:sz w:val="44"/>
          <w:szCs w:val="44"/>
        </w:rPr>
        <w:t>关于</w:t>
      </w:r>
      <w:r>
        <w:rPr>
          <w:rFonts w:hint="eastAsia" w:eastAsia="方正小标宋简体"/>
          <w:bCs/>
          <w:sz w:val="44"/>
          <w:szCs w:val="44"/>
        </w:rPr>
        <w:t>昆山市制造业分离发展服务业专项资金</w:t>
      </w:r>
    </w:p>
    <w:p w14:paraId="2B1107A9">
      <w:pPr>
        <w:spacing w:line="600" w:lineRule="exact"/>
        <w:jc w:val="center"/>
        <w:rPr>
          <w:rFonts w:eastAsia="方正小标宋简体"/>
          <w:bCs/>
          <w:sz w:val="44"/>
          <w:szCs w:val="44"/>
        </w:rPr>
      </w:pPr>
      <w:r>
        <w:rPr>
          <w:rFonts w:eastAsia="方正小标宋简体"/>
          <w:bCs/>
          <w:sz w:val="44"/>
          <w:szCs w:val="44"/>
        </w:rPr>
        <w:t>拟扶持企业的公示</w:t>
      </w:r>
    </w:p>
    <w:p w14:paraId="3DB11BDD">
      <w:pPr>
        <w:spacing w:line="600" w:lineRule="exact"/>
        <w:jc w:val="center"/>
        <w:rPr>
          <w:rFonts w:eastAsia="方正小标宋简体"/>
          <w:bCs/>
          <w:sz w:val="44"/>
          <w:szCs w:val="44"/>
        </w:rPr>
      </w:pPr>
    </w:p>
    <w:p w14:paraId="10FC850F">
      <w:pPr>
        <w:spacing w:line="600" w:lineRule="exact"/>
        <w:ind w:firstLine="640" w:firstLineChars="200"/>
        <w:rPr>
          <w:rFonts w:eastAsia="仿宋_GB2312"/>
          <w:sz w:val="32"/>
          <w:szCs w:val="32"/>
        </w:rPr>
      </w:pPr>
      <w:r>
        <w:rPr>
          <w:rFonts w:eastAsia="仿宋_GB2312"/>
          <w:color w:val="000000"/>
          <w:sz w:val="32"/>
          <w:szCs w:val="32"/>
        </w:rPr>
        <w:t>为</w:t>
      </w:r>
      <w:r>
        <w:rPr>
          <w:rFonts w:hint="eastAsia" w:eastAsia="仿宋_GB2312"/>
          <w:color w:val="000000"/>
          <w:sz w:val="32"/>
          <w:szCs w:val="32"/>
        </w:rPr>
        <w:t>推动制造业分离发展服务业</w:t>
      </w:r>
      <w:r>
        <w:rPr>
          <w:rFonts w:eastAsia="仿宋_GB2312"/>
          <w:color w:val="000000"/>
          <w:sz w:val="32"/>
          <w:szCs w:val="32"/>
        </w:rPr>
        <w:t>，</w:t>
      </w:r>
      <w:r>
        <w:rPr>
          <w:rFonts w:hint="eastAsia" w:eastAsia="仿宋_GB2312"/>
          <w:color w:val="000000"/>
          <w:sz w:val="32"/>
          <w:szCs w:val="32"/>
        </w:rPr>
        <w:t>助力企业在集中精力发展主业的同时，做大现代服务业，</w:t>
      </w:r>
      <w:r>
        <w:rPr>
          <w:rFonts w:eastAsia="仿宋_GB2312"/>
          <w:sz w:val="32"/>
          <w:szCs w:val="32"/>
        </w:rPr>
        <w:t>根据《</w:t>
      </w:r>
      <w:r>
        <w:rPr>
          <w:rFonts w:eastAsia="仿宋_GB2312"/>
          <w:color w:val="000000"/>
          <w:sz w:val="32"/>
          <w:szCs w:val="32"/>
        </w:rPr>
        <w:t>关于</w:t>
      </w:r>
      <w:r>
        <w:rPr>
          <w:rFonts w:hint="eastAsia" w:eastAsia="仿宋_GB2312"/>
          <w:color w:val="000000"/>
          <w:sz w:val="32"/>
          <w:szCs w:val="32"/>
        </w:rPr>
        <w:t>推进新兴服务业高质量</w:t>
      </w:r>
      <w:bookmarkStart w:id="0" w:name="_GoBack"/>
      <w:bookmarkEnd w:id="0"/>
      <w:r>
        <w:rPr>
          <w:rFonts w:hint="eastAsia" w:eastAsia="仿宋_GB2312"/>
          <w:color w:val="000000"/>
          <w:sz w:val="32"/>
          <w:szCs w:val="32"/>
        </w:rPr>
        <w:t>发展的若干政策</w:t>
      </w:r>
      <w:r>
        <w:rPr>
          <w:rFonts w:eastAsia="仿宋_GB2312"/>
          <w:sz w:val="32"/>
          <w:szCs w:val="32"/>
        </w:rPr>
        <w:t>》（昆</w:t>
      </w:r>
      <w:r>
        <w:rPr>
          <w:rFonts w:hint="eastAsia" w:eastAsia="仿宋_GB2312"/>
          <w:sz w:val="32"/>
          <w:szCs w:val="32"/>
        </w:rPr>
        <w:t>办字</w:t>
      </w:r>
      <w:r>
        <w:rPr>
          <w:rFonts w:eastAsia="仿宋_GB2312"/>
          <w:sz w:val="32"/>
          <w:szCs w:val="32"/>
        </w:rPr>
        <w:t>发〔2022〕</w:t>
      </w:r>
      <w:r>
        <w:rPr>
          <w:rFonts w:hint="eastAsia" w:eastAsia="仿宋_GB2312"/>
          <w:sz w:val="32"/>
          <w:szCs w:val="32"/>
        </w:rPr>
        <w:t>10</w:t>
      </w:r>
      <w:r>
        <w:rPr>
          <w:rFonts w:eastAsia="仿宋_GB2312"/>
          <w:sz w:val="32"/>
          <w:szCs w:val="32"/>
        </w:rPr>
        <w:t>号）</w:t>
      </w:r>
      <w:r>
        <w:rPr>
          <w:rFonts w:hint="eastAsia" w:eastAsia="仿宋_GB2312"/>
          <w:sz w:val="32"/>
          <w:szCs w:val="32"/>
        </w:rPr>
        <w:t>以及市级财政专项资金管理办法有关规定</w:t>
      </w:r>
      <w:r>
        <w:rPr>
          <w:rFonts w:eastAsia="仿宋_GB2312"/>
          <w:sz w:val="32"/>
          <w:szCs w:val="32"/>
        </w:rPr>
        <w:t>，我委已完成对</w:t>
      </w:r>
      <w:r>
        <w:rPr>
          <w:rFonts w:hint="eastAsia" w:eastAsia="仿宋_GB2312"/>
          <w:sz w:val="32"/>
          <w:szCs w:val="32"/>
        </w:rPr>
        <w:t>制造业分离发展服务业</w:t>
      </w:r>
      <w:r>
        <w:rPr>
          <w:rFonts w:eastAsia="仿宋_GB2312"/>
          <w:sz w:val="32"/>
          <w:szCs w:val="32"/>
        </w:rPr>
        <w:t>企业申报材料的评审。经评审，昆山辰巨电子科技有限公司等</w:t>
      </w:r>
      <w:r>
        <w:rPr>
          <w:rFonts w:hint="eastAsia" w:eastAsia="仿宋_GB2312"/>
          <w:sz w:val="32"/>
          <w:szCs w:val="32"/>
        </w:rPr>
        <w:t>2</w:t>
      </w:r>
      <w:r>
        <w:rPr>
          <w:rFonts w:eastAsia="仿宋_GB2312"/>
          <w:sz w:val="32"/>
          <w:szCs w:val="32"/>
        </w:rPr>
        <w:t xml:space="preserve">家制造业分离发展服务业企业满足昆山市制造业分离发展服务业专项资金政策的扶持条件，现公示如下： </w:t>
      </w:r>
    </w:p>
    <w:tbl>
      <w:tblPr>
        <w:tblStyle w:val="5"/>
        <w:tblW w:w="4999" w:type="pct"/>
        <w:jc w:val="center"/>
        <w:tblLayout w:type="autofit"/>
        <w:tblCellMar>
          <w:top w:w="0" w:type="dxa"/>
          <w:left w:w="108" w:type="dxa"/>
          <w:bottom w:w="0" w:type="dxa"/>
          <w:right w:w="108" w:type="dxa"/>
        </w:tblCellMar>
      </w:tblPr>
      <w:tblGrid>
        <w:gridCol w:w="2990"/>
        <w:gridCol w:w="6068"/>
      </w:tblGrid>
      <w:tr w14:paraId="7CE34303">
        <w:tblPrEx>
          <w:tblCellMar>
            <w:top w:w="0" w:type="dxa"/>
            <w:left w:w="108" w:type="dxa"/>
            <w:bottom w:w="0" w:type="dxa"/>
            <w:right w:w="108" w:type="dxa"/>
          </w:tblCellMar>
        </w:tblPrEx>
        <w:trPr>
          <w:trHeight w:val="624" w:hRule="atLeast"/>
          <w:jc w:val="center"/>
        </w:trPr>
        <w:tc>
          <w:tcPr>
            <w:tcW w:w="1650"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0331C">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序号</w:t>
            </w:r>
          </w:p>
        </w:tc>
        <w:tc>
          <w:tcPr>
            <w:tcW w:w="33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62A81">
            <w:pPr>
              <w:widowControl/>
              <w:jc w:val="center"/>
              <w:textAlignment w:val="center"/>
              <w:rPr>
                <w:rFonts w:ascii="黑体" w:hAnsi="黑体" w:eastAsia="黑体" w:cs="黑体"/>
                <w:color w:val="000000"/>
                <w:sz w:val="28"/>
                <w:szCs w:val="28"/>
              </w:rPr>
            </w:pPr>
            <w:r>
              <w:rPr>
                <w:rFonts w:hint="eastAsia" w:ascii="黑体" w:hAnsi="黑体" w:eastAsia="黑体" w:cs="黑体"/>
                <w:color w:val="000000"/>
                <w:kern w:val="0"/>
                <w:sz w:val="28"/>
                <w:szCs w:val="28"/>
              </w:rPr>
              <w:t>企业名称</w:t>
            </w:r>
          </w:p>
        </w:tc>
      </w:tr>
      <w:tr w14:paraId="63D27946">
        <w:tblPrEx>
          <w:tblCellMar>
            <w:top w:w="0" w:type="dxa"/>
            <w:left w:w="108" w:type="dxa"/>
            <w:bottom w:w="0" w:type="dxa"/>
            <w:right w:w="108" w:type="dxa"/>
          </w:tblCellMar>
        </w:tblPrEx>
        <w:trPr>
          <w:trHeight w:val="624" w:hRule="atLeast"/>
          <w:jc w:val="center"/>
        </w:trPr>
        <w:tc>
          <w:tcPr>
            <w:tcW w:w="16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17213">
            <w:pPr>
              <w:jc w:val="center"/>
              <w:rPr>
                <w:rFonts w:ascii="宋体" w:hAnsi="宋体" w:cs="宋体"/>
                <w:b/>
                <w:bCs/>
                <w:color w:val="000000"/>
                <w:sz w:val="28"/>
                <w:szCs w:val="28"/>
              </w:rPr>
            </w:pPr>
          </w:p>
        </w:tc>
        <w:tc>
          <w:tcPr>
            <w:tcW w:w="33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9B9A">
            <w:pPr>
              <w:jc w:val="center"/>
              <w:rPr>
                <w:rFonts w:ascii="宋体" w:hAnsi="宋体" w:cs="宋体"/>
                <w:b/>
                <w:bCs/>
                <w:color w:val="000000"/>
                <w:sz w:val="28"/>
                <w:szCs w:val="28"/>
              </w:rPr>
            </w:pPr>
          </w:p>
        </w:tc>
      </w:tr>
      <w:tr w14:paraId="58FFAE85">
        <w:tblPrEx>
          <w:tblCellMar>
            <w:top w:w="0" w:type="dxa"/>
            <w:left w:w="108" w:type="dxa"/>
            <w:bottom w:w="0" w:type="dxa"/>
            <w:right w:w="108" w:type="dxa"/>
          </w:tblCellMar>
        </w:tblPrEx>
        <w:trPr>
          <w:trHeight w:val="624" w:hRule="atLeast"/>
          <w:jc w:val="center"/>
        </w:trPr>
        <w:tc>
          <w:tcPr>
            <w:tcW w:w="1650"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91355">
            <w:pPr>
              <w:jc w:val="center"/>
              <w:rPr>
                <w:rFonts w:ascii="宋体" w:hAnsi="宋体" w:cs="宋体"/>
                <w:b/>
                <w:bCs/>
                <w:color w:val="000000"/>
                <w:sz w:val="28"/>
                <w:szCs w:val="28"/>
              </w:rPr>
            </w:pPr>
          </w:p>
        </w:tc>
        <w:tc>
          <w:tcPr>
            <w:tcW w:w="33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B186">
            <w:pPr>
              <w:jc w:val="center"/>
              <w:rPr>
                <w:rFonts w:ascii="宋体" w:hAnsi="宋体" w:cs="宋体"/>
                <w:b/>
                <w:bCs/>
                <w:color w:val="000000"/>
                <w:sz w:val="28"/>
                <w:szCs w:val="28"/>
              </w:rPr>
            </w:pPr>
          </w:p>
        </w:tc>
      </w:tr>
      <w:tr w14:paraId="3C79D2DC">
        <w:tblPrEx>
          <w:tblCellMar>
            <w:top w:w="0" w:type="dxa"/>
            <w:left w:w="108" w:type="dxa"/>
            <w:bottom w:w="0" w:type="dxa"/>
            <w:right w:w="108" w:type="dxa"/>
          </w:tblCellMar>
        </w:tblPrEx>
        <w:trPr>
          <w:jc w:val="center"/>
        </w:trPr>
        <w:tc>
          <w:tcPr>
            <w:tcW w:w="1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A5335">
            <w:pPr>
              <w:widowControl/>
              <w:jc w:val="center"/>
              <w:textAlignment w:val="center"/>
              <w:rPr>
                <w:color w:val="000000"/>
                <w:sz w:val="28"/>
                <w:szCs w:val="28"/>
              </w:rPr>
            </w:pPr>
            <w:r>
              <w:rPr>
                <w:color w:val="000000"/>
                <w:kern w:val="0"/>
                <w:sz w:val="28"/>
                <w:szCs w:val="28"/>
              </w:rPr>
              <w:t>1</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AFB5A">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昆山辰巨电子科技有限公司</w:t>
            </w:r>
          </w:p>
        </w:tc>
      </w:tr>
      <w:tr w14:paraId="06F17853">
        <w:tblPrEx>
          <w:tblCellMar>
            <w:top w:w="0" w:type="dxa"/>
            <w:left w:w="108" w:type="dxa"/>
            <w:bottom w:w="0" w:type="dxa"/>
            <w:right w:w="108" w:type="dxa"/>
          </w:tblCellMar>
        </w:tblPrEx>
        <w:trPr>
          <w:jc w:val="center"/>
        </w:trPr>
        <w:tc>
          <w:tcPr>
            <w:tcW w:w="16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04B0">
            <w:pPr>
              <w:widowControl/>
              <w:jc w:val="center"/>
              <w:textAlignment w:val="center"/>
              <w:rPr>
                <w:color w:val="000000"/>
                <w:sz w:val="28"/>
                <w:szCs w:val="28"/>
              </w:rPr>
            </w:pPr>
            <w:r>
              <w:rPr>
                <w:color w:val="000000"/>
                <w:kern w:val="0"/>
                <w:sz w:val="28"/>
                <w:szCs w:val="28"/>
              </w:rPr>
              <w:t>2</w:t>
            </w:r>
          </w:p>
        </w:tc>
        <w:tc>
          <w:tcPr>
            <w:tcW w:w="33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44836F">
            <w:pPr>
              <w:widowControl/>
              <w:jc w:val="center"/>
              <w:textAlignment w:val="center"/>
              <w:rPr>
                <w:rFonts w:ascii="仿宋_GB2312" w:hAnsi="仿宋_GB2312" w:eastAsia="仿宋_GB2312" w:cs="仿宋_GB2312"/>
                <w:color w:val="000000"/>
                <w:sz w:val="28"/>
                <w:szCs w:val="28"/>
              </w:rPr>
            </w:pPr>
            <w:r>
              <w:rPr>
                <w:rFonts w:hint="eastAsia" w:ascii="仿宋_GB2312" w:hAnsi="仿宋_GB2312" w:eastAsia="仿宋_GB2312" w:cs="仿宋_GB2312"/>
                <w:color w:val="000000"/>
                <w:kern w:val="0"/>
                <w:sz w:val="28"/>
                <w:szCs w:val="28"/>
              </w:rPr>
              <w:t>昆山苏码信息技术有限公司</w:t>
            </w:r>
          </w:p>
        </w:tc>
      </w:tr>
    </w:tbl>
    <w:p w14:paraId="6B501EE6">
      <w:pPr>
        <w:spacing w:line="560" w:lineRule="exact"/>
        <w:ind w:firstLine="640" w:firstLineChars="200"/>
        <w:rPr>
          <w:rFonts w:eastAsia="仿宋_GB2312"/>
          <w:sz w:val="32"/>
          <w:szCs w:val="32"/>
        </w:rPr>
      </w:pPr>
      <w:r>
        <w:rPr>
          <w:rFonts w:hint="eastAsia" w:eastAsia="仿宋_GB2312"/>
          <w:sz w:val="32"/>
          <w:szCs w:val="32"/>
        </w:rPr>
        <w:t>公示时间为2025年4月2日至2025年4月9日</w:t>
      </w:r>
      <w:r>
        <w:rPr>
          <w:rFonts w:eastAsia="仿宋_GB2312"/>
          <w:sz w:val="32"/>
          <w:szCs w:val="32"/>
        </w:rPr>
        <w:t>，如有意见和建议，可向昆山市发展和改革委员会反映。</w:t>
      </w:r>
    </w:p>
    <w:p w14:paraId="168C36E1">
      <w:pPr>
        <w:spacing w:line="560" w:lineRule="exact"/>
        <w:ind w:firstLine="640" w:firstLineChars="200"/>
        <w:rPr>
          <w:rFonts w:eastAsia="仿宋_GB2312"/>
          <w:sz w:val="32"/>
          <w:szCs w:val="32"/>
        </w:rPr>
      </w:pPr>
      <w:r>
        <w:rPr>
          <w:rFonts w:eastAsia="仿宋_GB2312"/>
          <w:sz w:val="32"/>
          <w:szCs w:val="32"/>
        </w:rPr>
        <w:t> 主办科室：昆山市发展和改革委员会服务业科</w:t>
      </w:r>
    </w:p>
    <w:p w14:paraId="46F14EB7">
      <w:pPr>
        <w:spacing w:line="560" w:lineRule="exact"/>
        <w:ind w:left="638" w:leftChars="304"/>
        <w:rPr>
          <w:rFonts w:eastAsia="仿宋_GB2312"/>
          <w:sz w:val="32"/>
          <w:szCs w:val="32"/>
        </w:rPr>
      </w:pPr>
      <w:r>
        <w:rPr>
          <w:rFonts w:eastAsia="仿宋_GB2312"/>
          <w:sz w:val="32"/>
          <w:szCs w:val="32"/>
        </w:rPr>
        <w:t> 邮政地址：昆山市前进中路108号；邮政编码：215300</w:t>
      </w:r>
    </w:p>
    <w:p w14:paraId="26ABAFB7">
      <w:pPr>
        <w:spacing w:line="560" w:lineRule="exact"/>
        <w:ind w:left="638" w:leftChars="304"/>
        <w:rPr>
          <w:rFonts w:eastAsia="仿宋_GB2312"/>
          <w:sz w:val="32"/>
          <w:szCs w:val="32"/>
        </w:rPr>
      </w:pPr>
      <w:r>
        <w:rPr>
          <w:rFonts w:eastAsia="仿宋_GB2312"/>
          <w:sz w:val="32"/>
          <w:szCs w:val="32"/>
        </w:rPr>
        <w:t>联系电话：57381122</w:t>
      </w:r>
    </w:p>
    <w:p w14:paraId="622DA84A">
      <w:pPr>
        <w:spacing w:line="560" w:lineRule="exact"/>
        <w:rPr>
          <w:rFonts w:eastAsia="仿宋_GB2312"/>
          <w:sz w:val="32"/>
          <w:szCs w:val="32"/>
        </w:rPr>
      </w:pPr>
    </w:p>
    <w:p w14:paraId="22D7C36F">
      <w:pPr>
        <w:spacing w:line="560" w:lineRule="exact"/>
        <w:ind w:firstLine="4576" w:firstLineChars="1430"/>
        <w:rPr>
          <w:rFonts w:eastAsia="仿宋_GB2312"/>
          <w:sz w:val="32"/>
          <w:szCs w:val="32"/>
        </w:rPr>
      </w:pPr>
      <w:r>
        <w:rPr>
          <w:rFonts w:eastAsia="仿宋_GB2312"/>
          <w:sz w:val="32"/>
          <w:szCs w:val="32"/>
        </w:rPr>
        <w:t>昆山市发展和改革委员会</w:t>
      </w:r>
    </w:p>
    <w:p w14:paraId="5838F691">
      <w:pPr>
        <w:spacing w:line="560" w:lineRule="exact"/>
        <w:ind w:firstLine="640" w:firstLineChars="200"/>
        <w:rPr>
          <w:rFonts w:eastAsia="仿宋_GB2312"/>
          <w:sz w:val="32"/>
          <w:szCs w:val="32"/>
        </w:rPr>
      </w:pPr>
      <w:r>
        <w:rPr>
          <w:rFonts w:eastAsia="仿宋_GB2312"/>
          <w:sz w:val="32"/>
          <w:szCs w:val="32"/>
        </w:rPr>
        <w:t xml:space="preserve">                            202</w:t>
      </w:r>
      <w:r>
        <w:rPr>
          <w:rFonts w:hint="eastAsia" w:eastAsia="仿宋_GB2312"/>
          <w:sz w:val="32"/>
          <w:szCs w:val="32"/>
        </w:rPr>
        <w:t>5</w:t>
      </w:r>
      <w:r>
        <w:rPr>
          <w:rFonts w:eastAsia="仿宋_GB2312"/>
          <w:sz w:val="32"/>
          <w:szCs w:val="32"/>
        </w:rPr>
        <w:t>年</w:t>
      </w:r>
      <w:r>
        <w:rPr>
          <w:rFonts w:hint="eastAsia" w:eastAsia="仿宋_GB2312"/>
          <w:sz w:val="32"/>
          <w:szCs w:val="32"/>
        </w:rPr>
        <w:t>4</w:t>
      </w:r>
      <w:r>
        <w:rPr>
          <w:rFonts w:eastAsia="仿宋_GB2312"/>
          <w:sz w:val="32"/>
          <w:szCs w:val="32"/>
        </w:rPr>
        <w:t>月</w:t>
      </w:r>
      <w:r>
        <w:rPr>
          <w:rFonts w:hint="eastAsia" w:eastAsia="仿宋_GB2312"/>
          <w:sz w:val="32"/>
          <w:szCs w:val="32"/>
        </w:rPr>
        <w:t>2</w:t>
      </w:r>
      <w:r>
        <w:rPr>
          <w:rFonts w:eastAsia="仿宋_GB2312"/>
          <w:sz w:val="32"/>
          <w:szCs w:val="32"/>
        </w:rPr>
        <w:t>日</w:t>
      </w:r>
    </w:p>
    <w:sectPr>
      <w:headerReference r:id="rId3" w:type="default"/>
      <w:footerReference r:id="rId5" w:type="default"/>
      <w:headerReference r:id="rId4" w:type="even"/>
      <w:footerReference r:id="rId6" w:type="even"/>
      <w:pgSz w:w="11906" w:h="16838"/>
      <w:pgMar w:top="2098" w:right="1474" w:bottom="1418"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DEEFD">
    <w:pPr>
      <w:pStyle w:val="3"/>
      <w:framePr w:wrap="around" w:vAnchor="text" w:hAnchor="margin" w:xAlign="outside" w:y="1"/>
      <w:rPr>
        <w:rStyle w:val="7"/>
        <w:rFonts w:ascii="宋体"/>
        <w:sz w:val="28"/>
        <w:szCs w:val="28"/>
      </w:rPr>
    </w:pP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- 2 -</w:t>
    </w:r>
    <w:r>
      <w:rPr>
        <w:rStyle w:val="7"/>
        <w:rFonts w:ascii="宋体" w:hAnsi="宋体"/>
        <w:sz w:val="28"/>
        <w:szCs w:val="28"/>
      </w:rPr>
      <w:fldChar w:fldCharType="end"/>
    </w:r>
  </w:p>
  <w:p w14:paraId="36E9D925">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6A660">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14:paraId="0F320A68">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3F049">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59563">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yYzU4NjM0NTkwNWMzZDQ0YzM2ZjBmNDZkNTZhYTkifQ=="/>
  </w:docVars>
  <w:rsids>
    <w:rsidRoot w:val="00B678CB"/>
    <w:rsid w:val="000001F2"/>
    <w:rsid w:val="0003032D"/>
    <w:rsid w:val="00044496"/>
    <w:rsid w:val="00070035"/>
    <w:rsid w:val="0008417C"/>
    <w:rsid w:val="000A2B84"/>
    <w:rsid w:val="000C7027"/>
    <w:rsid w:val="000E14CC"/>
    <w:rsid w:val="000E4411"/>
    <w:rsid w:val="000F4592"/>
    <w:rsid w:val="001079F4"/>
    <w:rsid w:val="00154445"/>
    <w:rsid w:val="00161C5A"/>
    <w:rsid w:val="00193E10"/>
    <w:rsid w:val="001973D2"/>
    <w:rsid w:val="001C2052"/>
    <w:rsid w:val="001D6BA7"/>
    <w:rsid w:val="001F70A0"/>
    <w:rsid w:val="00226669"/>
    <w:rsid w:val="00281F4E"/>
    <w:rsid w:val="00284134"/>
    <w:rsid w:val="002B6C1E"/>
    <w:rsid w:val="002E3D89"/>
    <w:rsid w:val="002F055B"/>
    <w:rsid w:val="00307EFE"/>
    <w:rsid w:val="003174D2"/>
    <w:rsid w:val="00343804"/>
    <w:rsid w:val="00365556"/>
    <w:rsid w:val="0039104D"/>
    <w:rsid w:val="003A4DEE"/>
    <w:rsid w:val="003B5550"/>
    <w:rsid w:val="0040552F"/>
    <w:rsid w:val="00434250"/>
    <w:rsid w:val="00440790"/>
    <w:rsid w:val="00445882"/>
    <w:rsid w:val="00486D72"/>
    <w:rsid w:val="00496BA0"/>
    <w:rsid w:val="004C7623"/>
    <w:rsid w:val="004E5B46"/>
    <w:rsid w:val="00524754"/>
    <w:rsid w:val="00545836"/>
    <w:rsid w:val="00551493"/>
    <w:rsid w:val="00574F68"/>
    <w:rsid w:val="005816C2"/>
    <w:rsid w:val="005F7CB2"/>
    <w:rsid w:val="00671CF6"/>
    <w:rsid w:val="006A6FF2"/>
    <w:rsid w:val="006C567F"/>
    <w:rsid w:val="006D4FA3"/>
    <w:rsid w:val="006D70DC"/>
    <w:rsid w:val="006E6391"/>
    <w:rsid w:val="00722403"/>
    <w:rsid w:val="00766AE9"/>
    <w:rsid w:val="00766E53"/>
    <w:rsid w:val="007B0B87"/>
    <w:rsid w:val="007E3BFA"/>
    <w:rsid w:val="00800BB8"/>
    <w:rsid w:val="00866A4F"/>
    <w:rsid w:val="008F410F"/>
    <w:rsid w:val="008F7CB1"/>
    <w:rsid w:val="00956DC2"/>
    <w:rsid w:val="009B0D28"/>
    <w:rsid w:val="009C164F"/>
    <w:rsid w:val="009F2B3B"/>
    <w:rsid w:val="009F6939"/>
    <w:rsid w:val="00A10B93"/>
    <w:rsid w:val="00AC200F"/>
    <w:rsid w:val="00AC7FED"/>
    <w:rsid w:val="00B24669"/>
    <w:rsid w:val="00B32DA3"/>
    <w:rsid w:val="00B459D2"/>
    <w:rsid w:val="00B51F8F"/>
    <w:rsid w:val="00B678CB"/>
    <w:rsid w:val="00B73E7E"/>
    <w:rsid w:val="00B75E3A"/>
    <w:rsid w:val="00B97110"/>
    <w:rsid w:val="00BB3C45"/>
    <w:rsid w:val="00C203CD"/>
    <w:rsid w:val="00C26ACA"/>
    <w:rsid w:val="00C42A26"/>
    <w:rsid w:val="00C732E6"/>
    <w:rsid w:val="00C96649"/>
    <w:rsid w:val="00CA6336"/>
    <w:rsid w:val="00CC534A"/>
    <w:rsid w:val="00CE6080"/>
    <w:rsid w:val="00CE76F7"/>
    <w:rsid w:val="00D56836"/>
    <w:rsid w:val="00D7442A"/>
    <w:rsid w:val="00D75785"/>
    <w:rsid w:val="00DA5A83"/>
    <w:rsid w:val="00DE5C52"/>
    <w:rsid w:val="00DF0875"/>
    <w:rsid w:val="00E055C7"/>
    <w:rsid w:val="00E8655C"/>
    <w:rsid w:val="00E954E9"/>
    <w:rsid w:val="00EA722E"/>
    <w:rsid w:val="00EC71C5"/>
    <w:rsid w:val="00F51485"/>
    <w:rsid w:val="00F622B8"/>
    <w:rsid w:val="00F65717"/>
    <w:rsid w:val="00F67093"/>
    <w:rsid w:val="00FB55DF"/>
    <w:rsid w:val="00FC0147"/>
    <w:rsid w:val="00FD25EC"/>
    <w:rsid w:val="030C4538"/>
    <w:rsid w:val="04FF037E"/>
    <w:rsid w:val="20AB14CA"/>
    <w:rsid w:val="22E40DA6"/>
    <w:rsid w:val="359E58A0"/>
    <w:rsid w:val="35D10E2E"/>
    <w:rsid w:val="360954A1"/>
    <w:rsid w:val="3D7900AD"/>
    <w:rsid w:val="3E1640A4"/>
    <w:rsid w:val="5F9654BF"/>
    <w:rsid w:val="77843214"/>
    <w:rsid w:val="7C6C23F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10"/>
    <w:autoRedefine/>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autoRedefine/>
    <w:qFormat/>
    <w:uiPriority w:val="99"/>
    <w:rPr>
      <w:rFonts w:cs="Times New Roman"/>
    </w:rPr>
  </w:style>
  <w:style w:type="character" w:styleId="8">
    <w:name w:val="Hyperlink"/>
    <w:basedOn w:val="6"/>
    <w:autoRedefine/>
    <w:qFormat/>
    <w:uiPriority w:val="99"/>
    <w:rPr>
      <w:rFonts w:cs="Times New Roman"/>
      <w:color w:val="0000FF"/>
      <w:u w:val="single"/>
    </w:rPr>
  </w:style>
  <w:style w:type="character" w:customStyle="1" w:styleId="9">
    <w:name w:val="页脚 Char"/>
    <w:basedOn w:val="6"/>
    <w:link w:val="3"/>
    <w:autoRedefine/>
    <w:semiHidden/>
    <w:qFormat/>
    <w:locked/>
    <w:uiPriority w:val="99"/>
    <w:rPr>
      <w:rFonts w:ascii="Times New Roman" w:hAnsi="Times New Roman" w:cs="Times New Roman"/>
      <w:sz w:val="18"/>
      <w:szCs w:val="18"/>
    </w:rPr>
  </w:style>
  <w:style w:type="character" w:customStyle="1" w:styleId="10">
    <w:name w:val="页眉 Char"/>
    <w:basedOn w:val="6"/>
    <w:link w:val="4"/>
    <w:autoRedefine/>
    <w:semiHidden/>
    <w:qFormat/>
    <w:locked/>
    <w:uiPriority w:val="99"/>
    <w:rPr>
      <w:rFonts w:ascii="Times New Roman" w:hAnsi="Times New Roman" w:cs="Times New Roman"/>
      <w:sz w:val="18"/>
      <w:szCs w:val="18"/>
    </w:rPr>
  </w:style>
  <w:style w:type="character" w:customStyle="1" w:styleId="11">
    <w:name w:val="批注框文本 Char"/>
    <w:basedOn w:val="6"/>
    <w:link w:val="2"/>
    <w:autoRedefine/>
    <w:semiHidden/>
    <w:qFormat/>
    <w:uiPriority w:val="99"/>
    <w:rPr>
      <w:rFonts w:ascii="Times New Roman" w:hAnsi="Times New Roman"/>
      <w:sz w:val="18"/>
      <w:szCs w:val="18"/>
    </w:rPr>
  </w:style>
  <w:style w:type="character" w:customStyle="1" w:styleId="12">
    <w:name w:val="font01"/>
    <w:basedOn w:val="6"/>
    <w:autoRedefine/>
    <w:qFormat/>
    <w:uiPriority w:val="0"/>
    <w:rPr>
      <w:rFonts w:hint="eastAsia" w:ascii="宋体" w:hAnsi="宋体" w:eastAsia="宋体" w:cs="宋体"/>
      <w:color w:val="000000"/>
      <w:sz w:val="22"/>
      <w:szCs w:val="22"/>
      <w:u w:val="none"/>
    </w:rPr>
  </w:style>
  <w:style w:type="character" w:customStyle="1" w:styleId="13">
    <w:name w:val="font31"/>
    <w:basedOn w:val="6"/>
    <w:autoRedefine/>
    <w:qFormat/>
    <w:uiPriority w:val="0"/>
    <w:rPr>
      <w:rFonts w:hint="default" w:ascii="Times New Roman" w:hAnsi="Times New Roman" w:cs="Times New Roman"/>
      <w:color w:val="000000"/>
      <w:sz w:val="22"/>
      <w:szCs w:val="22"/>
      <w:u w:val="none"/>
    </w:rPr>
  </w:style>
  <w:style w:type="character" w:customStyle="1" w:styleId="14">
    <w:name w:val="font41"/>
    <w:basedOn w:val="6"/>
    <w:autoRedefine/>
    <w:qFormat/>
    <w:uiPriority w:val="0"/>
    <w:rPr>
      <w:rFonts w:hint="eastAsia" w:ascii="宋体" w:hAnsi="宋体" w:eastAsia="宋体" w:cs="宋体"/>
      <w:color w:val="000000"/>
      <w:sz w:val="22"/>
      <w:szCs w:val="22"/>
      <w:u w:val="none"/>
    </w:rPr>
  </w:style>
  <w:style w:type="character" w:customStyle="1" w:styleId="15">
    <w:name w:val="font81"/>
    <w:basedOn w:val="6"/>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Company>
  <Pages>2</Pages>
  <Words>349</Words>
  <Characters>376</Characters>
  <Lines>3</Lines>
  <Paragraphs>1</Paragraphs>
  <TotalTime>0</TotalTime>
  <ScaleCrop>false</ScaleCrop>
  <LinksUpToDate>false</LinksUpToDate>
  <CharactersWithSpaces>407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2022-06-22T07:34:00Z</dcterms:created>
  <dc:creator>刘炜</dc:creator>
  <cp:lastModifiedBy>D</cp:lastModifiedBy>
  <cp:lastPrinted>2021-10-29T01:31:00Z</cp:lastPrinted>
  <dcterms:modified xsi:type="dcterms:W3CDTF">2025-04-02T08:53:08Z</dcterms:modified>
  <dc:title>关于2018年昆山市转型升级创新发展</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24FE27EA07E8411C8C1C1A8032FA41BB_13</vt:lpwstr>
  </property>
</Properties>
</file>