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EB3398" w14:textId="53E65252" w:rsidR="00466F80" w:rsidRDefault="00B81F68">
      <w:pPr>
        <w:overflowPunct w:val="0"/>
        <w:autoSpaceDE w:val="0"/>
        <w:autoSpaceDN w:val="0"/>
        <w:adjustRightInd w:val="0"/>
        <w:snapToGrid w:val="0"/>
        <w:spacing w:line="400" w:lineRule="atLeast"/>
        <w:jc w:val="center"/>
        <w:rPr>
          <w:rFonts w:ascii="黑体" w:eastAsia="黑体" w:hAnsi="宋体"/>
          <w:sz w:val="32"/>
          <w:szCs w:val="32"/>
        </w:rPr>
      </w:pPr>
      <w:r w:rsidRPr="00B81F68">
        <w:rPr>
          <w:rFonts w:ascii="黑体" w:eastAsia="黑体" w:hAnsi="宋体" w:hint="eastAsia"/>
          <w:sz w:val="32"/>
          <w:szCs w:val="32"/>
        </w:rPr>
        <w:t>昆山市</w:t>
      </w:r>
      <w:r w:rsidR="00941B7A">
        <w:rPr>
          <w:rFonts w:ascii="黑体" w:eastAsia="黑体" w:hAnsi="宋体" w:hint="eastAsia"/>
          <w:sz w:val="32"/>
          <w:szCs w:val="32"/>
        </w:rPr>
        <w:t>灭火毯</w:t>
      </w:r>
      <w:r>
        <w:rPr>
          <w:rFonts w:ascii="黑体" w:eastAsia="黑体" w:hAnsi="宋体" w:hint="eastAsia"/>
          <w:sz w:val="32"/>
          <w:szCs w:val="32"/>
        </w:rPr>
        <w:t>产品质量监督抽查实施细则</w:t>
      </w:r>
    </w:p>
    <w:p w14:paraId="5B273DB6" w14:textId="77777777" w:rsidR="00466F80" w:rsidRDefault="00701F4F">
      <w:pPr>
        <w:overflowPunct w:val="0"/>
        <w:autoSpaceDE w:val="0"/>
        <w:autoSpaceDN w:val="0"/>
        <w:adjustRightInd w:val="0"/>
        <w:snapToGrid w:val="0"/>
        <w:spacing w:line="400" w:lineRule="atLeast"/>
        <w:jc w:val="center"/>
        <w:rPr>
          <w:rFonts w:eastAsia="黑体"/>
          <w:sz w:val="32"/>
          <w:szCs w:val="32"/>
        </w:rPr>
      </w:pPr>
      <w:r>
        <w:rPr>
          <w:rFonts w:eastAsia="黑体"/>
          <w:sz w:val="32"/>
          <w:szCs w:val="32"/>
        </w:rPr>
        <w:t>（</w:t>
      </w:r>
      <w:r>
        <w:rPr>
          <w:rFonts w:eastAsia="黑体"/>
          <w:sz w:val="32"/>
          <w:szCs w:val="32"/>
        </w:rPr>
        <w:t>2026</w:t>
      </w:r>
      <w:r>
        <w:rPr>
          <w:rFonts w:eastAsia="黑体"/>
          <w:sz w:val="32"/>
          <w:szCs w:val="32"/>
        </w:rPr>
        <w:t>版）</w:t>
      </w:r>
    </w:p>
    <w:p w14:paraId="0B7753C0" w14:textId="77777777" w:rsidR="00466F80" w:rsidRDefault="00466F80">
      <w:pPr>
        <w:overflowPunct w:val="0"/>
        <w:autoSpaceDE w:val="0"/>
        <w:autoSpaceDN w:val="0"/>
        <w:adjustRightInd w:val="0"/>
        <w:snapToGrid w:val="0"/>
        <w:spacing w:line="400" w:lineRule="atLeast"/>
        <w:jc w:val="center"/>
        <w:rPr>
          <w:rFonts w:ascii="黑体" w:eastAsia="黑体" w:hAnsi="宋体"/>
          <w:sz w:val="32"/>
          <w:szCs w:val="32"/>
        </w:rPr>
      </w:pPr>
    </w:p>
    <w:p w14:paraId="7BD49E0D" w14:textId="77777777" w:rsidR="00466F80" w:rsidRDefault="00701F4F">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1.</w:t>
      </w:r>
      <w:r>
        <w:rPr>
          <w:rFonts w:ascii="方正黑体_GBK" w:eastAsia="方正黑体_GBK" w:hAnsi="方正仿宋_GBK" w:cs="方正仿宋_GBK" w:hint="eastAsia"/>
          <w:kern w:val="0"/>
          <w:sz w:val="28"/>
          <w:szCs w:val="28"/>
          <w:shd w:val="clear" w:color="auto" w:fill="FFFFFF"/>
          <w:lang w:bidi="ar"/>
        </w:rPr>
        <w:t>范围</w:t>
      </w:r>
    </w:p>
    <w:p w14:paraId="26C0467F" w14:textId="4588BA4B" w:rsidR="00466F80" w:rsidRDefault="00701F4F">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本细则适用于</w:t>
      </w:r>
      <w:r w:rsidR="00B81F68" w:rsidRPr="008C696E">
        <w:rPr>
          <w:rFonts w:ascii="方正仿宋_GBK" w:eastAsia="方正仿宋_GBK" w:hAnsi="方正仿宋_GBK" w:cs="方正仿宋_GBK" w:hint="eastAsia"/>
          <w:sz w:val="28"/>
          <w:szCs w:val="28"/>
        </w:rPr>
        <w:t>昆山市</w:t>
      </w:r>
      <w:r w:rsidR="00941B7A" w:rsidRPr="008C696E">
        <w:rPr>
          <w:rFonts w:ascii="方正仿宋_GBK" w:eastAsia="方正仿宋_GBK" w:hAnsi="方正仿宋_GBK" w:cs="方正仿宋_GBK" w:hint="eastAsia"/>
          <w:sz w:val="28"/>
          <w:szCs w:val="28"/>
        </w:rPr>
        <w:t>灭火毯</w:t>
      </w:r>
      <w:r>
        <w:rPr>
          <w:rFonts w:ascii="方正仿宋_GBK" w:eastAsia="方正仿宋_GBK" w:hAnsi="方正仿宋_GBK" w:cs="方正仿宋_GBK" w:hint="eastAsia"/>
          <w:sz w:val="28"/>
          <w:szCs w:val="28"/>
        </w:rPr>
        <w:t>产品质量监督抽查检验。本细则规定了此产品的抽样方法、检验依据、检验项目、检验方法、判定规则。</w:t>
      </w:r>
    </w:p>
    <w:p w14:paraId="395D2DA9" w14:textId="77777777" w:rsidR="00466F80" w:rsidRDefault="00701F4F">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2.</w:t>
      </w:r>
      <w:r>
        <w:rPr>
          <w:rFonts w:ascii="方正黑体_GBK" w:eastAsia="方正黑体_GBK" w:hAnsi="方正仿宋_GBK" w:cs="方正仿宋_GBK" w:hint="eastAsia"/>
          <w:kern w:val="0"/>
          <w:sz w:val="28"/>
          <w:szCs w:val="28"/>
          <w:shd w:val="clear" w:color="auto" w:fill="FFFFFF"/>
          <w:lang w:bidi="ar"/>
        </w:rPr>
        <w:t>抽样方法</w:t>
      </w:r>
    </w:p>
    <w:p w14:paraId="46AD76B9" w14:textId="77777777" w:rsidR="00466F80" w:rsidRDefault="00701F4F">
      <w:pPr>
        <w:spacing w:line="600" w:lineRule="exact"/>
        <w:ind w:firstLineChars="200" w:firstLine="544"/>
        <w:rPr>
          <w:rFonts w:ascii="方正仿宋_GBK" w:eastAsia="方正仿宋_GBK" w:hAnsi="方正仿宋_GBK" w:cs="方正仿宋_GBK"/>
          <w:b/>
          <w:bCs/>
          <w:sz w:val="28"/>
          <w:szCs w:val="28"/>
        </w:rPr>
      </w:pPr>
      <w:r>
        <w:rPr>
          <w:rFonts w:eastAsia="方正仿宋_GBK"/>
          <w:b/>
          <w:bCs/>
          <w:sz w:val="28"/>
          <w:szCs w:val="28"/>
        </w:rPr>
        <w:t>2.1</w:t>
      </w:r>
      <w:r>
        <w:rPr>
          <w:rFonts w:ascii="方正仿宋_GBK" w:eastAsia="方正仿宋_GBK" w:hAnsi="方正仿宋_GBK" w:cs="方正仿宋_GBK" w:hint="eastAsia"/>
          <w:b/>
          <w:bCs/>
          <w:sz w:val="28"/>
          <w:szCs w:val="28"/>
        </w:rPr>
        <w:t>生产企业、实体店抽样</w:t>
      </w:r>
    </w:p>
    <w:p w14:paraId="07B0783E" w14:textId="00965DD8" w:rsidR="00466F80" w:rsidRDefault="00701F4F">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以随机抽样的方式在被抽样生产者、销售者的待销产品中抽取。随机数一般可使用随机数表等方法产生。每批次产品抽取样品</w:t>
      </w:r>
      <w:r w:rsidR="00941B7A" w:rsidRPr="008C696E">
        <w:rPr>
          <w:rFonts w:ascii="方正仿宋_GBK" w:eastAsia="方正仿宋_GBK" w:hAnsi="方正仿宋_GBK" w:cs="方正仿宋_GBK" w:hint="eastAsia"/>
          <w:sz w:val="28"/>
          <w:szCs w:val="28"/>
        </w:rPr>
        <w:t>4条</w:t>
      </w:r>
      <w:r>
        <w:rPr>
          <w:rFonts w:ascii="方正仿宋_GBK" w:eastAsia="方正仿宋_GBK" w:hAnsi="方正仿宋_GBK" w:cs="方正仿宋_GBK" w:hint="eastAsia"/>
          <w:sz w:val="28"/>
          <w:szCs w:val="28"/>
        </w:rPr>
        <w:t>，其中</w:t>
      </w:r>
      <w:r w:rsidR="00941B7A" w:rsidRPr="008C696E">
        <w:rPr>
          <w:rFonts w:ascii="方正仿宋_GBK" w:eastAsia="方正仿宋_GBK" w:hAnsi="方正仿宋_GBK" w:cs="方正仿宋_GBK" w:hint="eastAsia"/>
          <w:sz w:val="28"/>
          <w:szCs w:val="28"/>
        </w:rPr>
        <w:t>2条</w:t>
      </w:r>
      <w:r>
        <w:rPr>
          <w:rFonts w:ascii="方正仿宋_GBK" w:eastAsia="方正仿宋_GBK" w:hAnsi="方正仿宋_GBK" w:cs="方正仿宋_GBK" w:hint="eastAsia"/>
          <w:sz w:val="28"/>
          <w:szCs w:val="28"/>
        </w:rPr>
        <w:t>为检验样品，</w:t>
      </w:r>
      <w:r w:rsidR="00941B7A">
        <w:rPr>
          <w:rFonts w:ascii="方正仿宋_GBK" w:eastAsia="方正仿宋_GBK" w:hAnsi="方正仿宋_GBK" w:cs="方正仿宋_GBK" w:hint="eastAsia"/>
          <w:sz w:val="28"/>
          <w:szCs w:val="28"/>
        </w:rPr>
        <w:t>2条</w:t>
      </w:r>
      <w:r>
        <w:rPr>
          <w:rFonts w:ascii="方正仿宋_GBK" w:eastAsia="方正仿宋_GBK" w:hAnsi="方正仿宋_GBK" w:cs="方正仿宋_GBK" w:hint="eastAsia"/>
          <w:sz w:val="28"/>
          <w:szCs w:val="28"/>
        </w:rPr>
        <w:t>为备用样品。</w:t>
      </w:r>
    </w:p>
    <w:p w14:paraId="18019E9E" w14:textId="77777777" w:rsidR="00466F80" w:rsidRDefault="00701F4F">
      <w:pPr>
        <w:spacing w:line="600" w:lineRule="exact"/>
        <w:ind w:firstLineChars="200" w:firstLine="544"/>
        <w:rPr>
          <w:rFonts w:ascii="仿宋_GB2312" w:eastAsia="仿宋_GB2312" w:hAnsi="仿宋_GB2312" w:cs="仿宋_GB2312"/>
          <w:b/>
          <w:bCs/>
          <w:sz w:val="28"/>
          <w:szCs w:val="28"/>
        </w:rPr>
      </w:pPr>
      <w:r>
        <w:rPr>
          <w:rFonts w:eastAsia="仿宋_GB2312"/>
          <w:b/>
          <w:bCs/>
          <w:sz w:val="28"/>
          <w:szCs w:val="28"/>
        </w:rPr>
        <w:t>2.</w:t>
      </w:r>
      <w:r>
        <w:rPr>
          <w:rFonts w:eastAsia="仿宋_GB2312" w:hint="eastAsia"/>
          <w:b/>
          <w:bCs/>
          <w:sz w:val="28"/>
          <w:szCs w:val="28"/>
        </w:rPr>
        <w:t>2</w:t>
      </w:r>
      <w:r>
        <w:rPr>
          <w:rFonts w:ascii="仿宋_GB2312" w:eastAsia="仿宋_GB2312" w:hAnsi="仿宋_GB2312" w:cs="仿宋_GB2312" w:hint="eastAsia"/>
          <w:b/>
          <w:bCs/>
          <w:sz w:val="28"/>
          <w:szCs w:val="28"/>
        </w:rPr>
        <w:t>电商平台采样</w:t>
      </w:r>
    </w:p>
    <w:p w14:paraId="112EE0CD" w14:textId="2E91280B" w:rsidR="00466F80" w:rsidRDefault="00701F4F">
      <w:pPr>
        <w:spacing w:line="600" w:lineRule="exact"/>
        <w:ind w:firstLineChars="200" w:firstLine="542"/>
      </w:pPr>
      <w:r>
        <w:rPr>
          <w:rFonts w:ascii="方正仿宋_GBK" w:eastAsia="方正仿宋_GBK" w:hAnsi="方正仿宋_GBK" w:cs="方正仿宋_GBK" w:hint="eastAsia"/>
          <w:sz w:val="28"/>
          <w:szCs w:val="28"/>
        </w:rPr>
        <w:t>抽样数量为同一型号</w:t>
      </w:r>
      <w:r w:rsidR="00941B7A" w:rsidRPr="008C696E">
        <w:rPr>
          <w:rFonts w:ascii="方正仿宋_GBK" w:eastAsia="方正仿宋_GBK" w:hAnsi="方正仿宋_GBK" w:cs="方正仿宋_GBK" w:hint="eastAsia"/>
          <w:sz w:val="28"/>
          <w:szCs w:val="28"/>
        </w:rPr>
        <w:t>灭火毯4条</w:t>
      </w:r>
      <w:r>
        <w:rPr>
          <w:rFonts w:ascii="方正仿宋_GBK" w:eastAsia="方正仿宋_GBK" w:hAnsi="方正仿宋_GBK" w:cs="方正仿宋_GBK" w:hint="eastAsia"/>
          <w:sz w:val="28"/>
          <w:szCs w:val="28"/>
        </w:rPr>
        <w:t>。</w:t>
      </w:r>
    </w:p>
    <w:p w14:paraId="4E72E44D" w14:textId="77777777" w:rsidR="00466F80" w:rsidRDefault="00701F4F">
      <w:pPr>
        <w:numPr>
          <w:ilvl w:val="0"/>
          <w:numId w:val="2"/>
        </w:num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检验依据</w:t>
      </w:r>
    </w:p>
    <w:tbl>
      <w:tblPr>
        <w:tblpPr w:leftFromText="180" w:rightFromText="180" w:vertAnchor="text" w:horzAnchor="page" w:tblpX="2143" w:tblpY="2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1563"/>
        <w:gridCol w:w="2693"/>
        <w:gridCol w:w="3041"/>
      </w:tblGrid>
      <w:tr w:rsidR="00466F80" w14:paraId="062D0003" w14:textId="77777777" w:rsidTr="00940C2B">
        <w:trPr>
          <w:trHeight w:val="567"/>
        </w:trPr>
        <w:tc>
          <w:tcPr>
            <w:tcW w:w="955" w:type="dxa"/>
            <w:vAlign w:val="center"/>
          </w:tcPr>
          <w:p w14:paraId="28AD30EC" w14:textId="77777777" w:rsidR="00466F80" w:rsidRDefault="00701F4F">
            <w:pPr>
              <w:shd w:val="clear" w:color="auto" w:fill="FFFFFF"/>
              <w:spacing w:line="240" w:lineRule="auto"/>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序号</w:t>
            </w:r>
          </w:p>
        </w:tc>
        <w:tc>
          <w:tcPr>
            <w:tcW w:w="4256" w:type="dxa"/>
            <w:gridSpan w:val="2"/>
            <w:vAlign w:val="center"/>
          </w:tcPr>
          <w:p w14:paraId="173A8423" w14:textId="77777777" w:rsidR="00466F80" w:rsidRDefault="00701F4F">
            <w:pPr>
              <w:shd w:val="clear" w:color="auto" w:fill="FFFFFF"/>
              <w:spacing w:line="240" w:lineRule="auto"/>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检验项目</w:t>
            </w:r>
          </w:p>
        </w:tc>
        <w:tc>
          <w:tcPr>
            <w:tcW w:w="3041" w:type="dxa"/>
            <w:vAlign w:val="center"/>
          </w:tcPr>
          <w:p w14:paraId="3AEBE13F" w14:textId="77777777" w:rsidR="00466F80" w:rsidRDefault="00701F4F">
            <w:pPr>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检验方法</w:t>
            </w:r>
          </w:p>
        </w:tc>
      </w:tr>
      <w:tr w:rsidR="00941B7A" w14:paraId="62BCCC9E" w14:textId="77777777" w:rsidTr="008C696E">
        <w:trPr>
          <w:trHeight w:val="601"/>
        </w:trPr>
        <w:tc>
          <w:tcPr>
            <w:tcW w:w="955" w:type="dxa"/>
            <w:vAlign w:val="center"/>
          </w:tcPr>
          <w:p w14:paraId="07662991" w14:textId="3793C8E2" w:rsidR="00941B7A" w:rsidRPr="008C696E" w:rsidRDefault="00941B7A" w:rsidP="00941B7A">
            <w:pPr>
              <w:spacing w:line="600" w:lineRule="exact"/>
              <w:jc w:val="center"/>
              <w:rPr>
                <w:rFonts w:ascii="方正仿宋_GBK" w:eastAsia="方正仿宋_GBK" w:hAnsi="方正仿宋_GBK" w:cs="方正仿宋_GBK"/>
                <w:sz w:val="28"/>
                <w:szCs w:val="28"/>
              </w:rPr>
            </w:pPr>
            <w:bookmarkStart w:id="0" w:name="_GoBack" w:colFirst="3" w:colLast="3"/>
            <w:r w:rsidRPr="008C696E">
              <w:rPr>
                <w:rFonts w:ascii="方正仿宋_GBK" w:eastAsia="方正仿宋_GBK" w:hAnsi="方正仿宋_GBK" w:cs="方正仿宋_GBK" w:hint="eastAsia"/>
                <w:color w:val="000000"/>
                <w:sz w:val="28"/>
                <w:szCs w:val="28"/>
              </w:rPr>
              <w:t>1</w:t>
            </w:r>
          </w:p>
        </w:tc>
        <w:tc>
          <w:tcPr>
            <w:tcW w:w="1563" w:type="dxa"/>
            <w:vMerge w:val="restart"/>
            <w:vAlign w:val="center"/>
          </w:tcPr>
          <w:p w14:paraId="06455630" w14:textId="4D3FDDC7" w:rsidR="00941B7A" w:rsidRPr="008C696E" w:rsidRDefault="00941B7A" w:rsidP="00941B7A">
            <w:pPr>
              <w:spacing w:line="580" w:lineRule="exact"/>
              <w:jc w:val="center"/>
              <w:rPr>
                <w:rFonts w:ascii="方正仿宋_GBK" w:eastAsia="方正仿宋_GBK" w:hAnsi="方正仿宋_GBK" w:cs="方正仿宋_GBK"/>
                <w:color w:val="000000"/>
                <w:sz w:val="28"/>
                <w:szCs w:val="28"/>
              </w:rPr>
            </w:pPr>
            <w:r w:rsidRPr="008C696E">
              <w:rPr>
                <w:rFonts w:ascii="方正仿宋_GBK" w:eastAsia="方正仿宋_GBK" w:hAnsi="方正仿宋_GBK" w:cs="方正仿宋_GBK" w:hint="eastAsia"/>
                <w:color w:val="000000"/>
                <w:sz w:val="28"/>
                <w:szCs w:val="28"/>
              </w:rPr>
              <w:t>材料性能</w:t>
            </w:r>
          </w:p>
        </w:tc>
        <w:tc>
          <w:tcPr>
            <w:tcW w:w="2693" w:type="dxa"/>
            <w:vAlign w:val="center"/>
          </w:tcPr>
          <w:p w14:paraId="7555552C" w14:textId="3A04CCC1" w:rsidR="00941B7A" w:rsidRPr="008C696E" w:rsidRDefault="00941B7A" w:rsidP="00941B7A">
            <w:pPr>
              <w:spacing w:line="300" w:lineRule="exact"/>
              <w:jc w:val="center"/>
              <w:rPr>
                <w:rFonts w:ascii="方正仿宋_GBK" w:eastAsia="方正仿宋_GBK" w:hAnsi="方正仿宋_GBK" w:cs="方正仿宋_GBK"/>
                <w:color w:val="000000"/>
                <w:sz w:val="28"/>
                <w:szCs w:val="28"/>
              </w:rPr>
            </w:pPr>
            <w:r w:rsidRPr="008C696E">
              <w:rPr>
                <w:rFonts w:ascii="方正仿宋_GBK" w:eastAsia="方正仿宋_GBK" w:hAnsi="方正仿宋_GBK" w:cs="方正仿宋_GBK" w:hint="eastAsia"/>
                <w:color w:val="000000"/>
                <w:sz w:val="28"/>
                <w:szCs w:val="28"/>
              </w:rPr>
              <w:t>毯面的干态断裂强力试验</w:t>
            </w:r>
          </w:p>
        </w:tc>
        <w:tc>
          <w:tcPr>
            <w:tcW w:w="3041" w:type="dxa"/>
            <w:vAlign w:val="center"/>
          </w:tcPr>
          <w:p w14:paraId="65B16D59" w14:textId="7CC2B3E7" w:rsidR="00941B7A" w:rsidRPr="008C696E" w:rsidRDefault="00941B7A" w:rsidP="008C696E">
            <w:pPr>
              <w:spacing w:line="560" w:lineRule="exact"/>
              <w:jc w:val="left"/>
              <w:rPr>
                <w:rFonts w:ascii="方正仿宋_GBK" w:eastAsia="方正仿宋_GBK" w:hAnsi="方正仿宋_GBK" w:cs="方正仿宋_GBK"/>
                <w:sz w:val="28"/>
                <w:szCs w:val="28"/>
              </w:rPr>
            </w:pPr>
            <w:r w:rsidRPr="008C696E">
              <w:rPr>
                <w:rFonts w:ascii="方正仿宋_GBK" w:eastAsia="方正仿宋_GBK" w:hAnsi="方正仿宋_GBK" w:cs="方正仿宋_GBK"/>
                <w:color w:val="000000"/>
                <w:sz w:val="28"/>
                <w:szCs w:val="28"/>
              </w:rPr>
              <w:t>XF 1205-2014</w:t>
            </w:r>
          </w:p>
        </w:tc>
      </w:tr>
      <w:tr w:rsidR="00941B7A" w14:paraId="3DCC006E" w14:textId="77777777" w:rsidTr="008C696E">
        <w:trPr>
          <w:trHeight w:val="567"/>
        </w:trPr>
        <w:tc>
          <w:tcPr>
            <w:tcW w:w="955" w:type="dxa"/>
            <w:vAlign w:val="center"/>
          </w:tcPr>
          <w:p w14:paraId="0002A8B6" w14:textId="362BA0B1" w:rsidR="00941B7A" w:rsidRPr="008C696E" w:rsidRDefault="00941B7A" w:rsidP="00941B7A">
            <w:pPr>
              <w:spacing w:line="600" w:lineRule="exact"/>
              <w:jc w:val="center"/>
              <w:rPr>
                <w:rFonts w:ascii="方正仿宋_GBK" w:eastAsia="方正仿宋_GBK" w:hAnsi="方正仿宋_GBK" w:cs="方正仿宋_GBK"/>
                <w:sz w:val="28"/>
                <w:szCs w:val="28"/>
              </w:rPr>
            </w:pPr>
            <w:r w:rsidRPr="008C696E">
              <w:rPr>
                <w:rFonts w:ascii="方正仿宋_GBK" w:eastAsia="方正仿宋_GBK" w:hAnsi="方正仿宋_GBK" w:cs="方正仿宋_GBK" w:hint="eastAsia"/>
                <w:color w:val="000000"/>
                <w:sz w:val="28"/>
                <w:szCs w:val="28"/>
              </w:rPr>
              <w:t>2</w:t>
            </w:r>
          </w:p>
        </w:tc>
        <w:tc>
          <w:tcPr>
            <w:tcW w:w="1563" w:type="dxa"/>
            <w:vMerge/>
            <w:vAlign w:val="center"/>
          </w:tcPr>
          <w:p w14:paraId="0E8A72D3" w14:textId="77777777" w:rsidR="00941B7A" w:rsidRPr="008C696E" w:rsidRDefault="00941B7A" w:rsidP="00941B7A">
            <w:pPr>
              <w:spacing w:line="300" w:lineRule="exact"/>
              <w:jc w:val="center"/>
              <w:rPr>
                <w:rFonts w:ascii="方正仿宋_GBK" w:eastAsia="方正仿宋_GBK" w:hAnsi="方正仿宋_GBK" w:cs="方正仿宋_GBK"/>
                <w:color w:val="000000"/>
                <w:sz w:val="28"/>
                <w:szCs w:val="28"/>
              </w:rPr>
            </w:pPr>
          </w:p>
        </w:tc>
        <w:tc>
          <w:tcPr>
            <w:tcW w:w="2693" w:type="dxa"/>
            <w:vAlign w:val="center"/>
          </w:tcPr>
          <w:p w14:paraId="010F0365" w14:textId="652FEDCA" w:rsidR="00941B7A" w:rsidRPr="008C696E" w:rsidRDefault="00941B7A" w:rsidP="00941B7A">
            <w:pPr>
              <w:spacing w:line="300" w:lineRule="exact"/>
              <w:jc w:val="center"/>
              <w:rPr>
                <w:rFonts w:ascii="方正仿宋_GBK" w:eastAsia="方正仿宋_GBK" w:hAnsi="方正仿宋_GBK" w:cs="方正仿宋_GBK"/>
                <w:color w:val="000000"/>
                <w:sz w:val="28"/>
                <w:szCs w:val="28"/>
              </w:rPr>
            </w:pPr>
            <w:r w:rsidRPr="008C696E">
              <w:rPr>
                <w:rFonts w:ascii="方正仿宋_GBK" w:eastAsia="方正仿宋_GBK" w:hAnsi="方正仿宋_GBK" w:cs="方正仿宋_GBK" w:hint="eastAsia"/>
                <w:color w:val="000000"/>
                <w:sz w:val="28"/>
                <w:szCs w:val="28"/>
              </w:rPr>
              <w:t>手持件材料的阻燃性能试验</w:t>
            </w:r>
          </w:p>
        </w:tc>
        <w:tc>
          <w:tcPr>
            <w:tcW w:w="3041" w:type="dxa"/>
            <w:vAlign w:val="center"/>
          </w:tcPr>
          <w:p w14:paraId="3801F2CA" w14:textId="4E69D5E7" w:rsidR="00941B7A" w:rsidRPr="008C696E" w:rsidRDefault="00941B7A" w:rsidP="008C696E">
            <w:pPr>
              <w:spacing w:line="560" w:lineRule="exact"/>
              <w:jc w:val="left"/>
              <w:rPr>
                <w:rFonts w:ascii="方正仿宋_GBK" w:eastAsia="方正仿宋_GBK" w:hAnsi="方正仿宋_GBK" w:cs="方正仿宋_GBK"/>
                <w:sz w:val="28"/>
                <w:szCs w:val="28"/>
              </w:rPr>
            </w:pPr>
            <w:r w:rsidRPr="008C696E">
              <w:rPr>
                <w:rFonts w:ascii="方正仿宋_GBK" w:eastAsia="方正仿宋_GBK" w:hAnsi="方正仿宋_GBK" w:cs="方正仿宋_GBK"/>
                <w:color w:val="000000"/>
                <w:sz w:val="28"/>
                <w:szCs w:val="28"/>
              </w:rPr>
              <w:t>XF 1205-2014</w:t>
            </w:r>
          </w:p>
        </w:tc>
      </w:tr>
    </w:tbl>
    <w:bookmarkEnd w:id="0"/>
    <w:p w14:paraId="53ED2EDC" w14:textId="77777777" w:rsidR="00466F80" w:rsidRDefault="00701F4F">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lastRenderedPageBreak/>
        <w:t>4.</w:t>
      </w:r>
      <w:r>
        <w:rPr>
          <w:rFonts w:ascii="方正黑体_GBK" w:eastAsia="方正黑体_GBK" w:hAnsi="方正仿宋_GBK" w:cs="方正仿宋_GBK" w:hint="eastAsia"/>
          <w:kern w:val="0"/>
          <w:sz w:val="28"/>
          <w:szCs w:val="28"/>
          <w:shd w:val="clear" w:color="auto" w:fill="FFFFFF"/>
          <w:lang w:bidi="ar"/>
        </w:rPr>
        <w:t>判定规则</w:t>
      </w:r>
    </w:p>
    <w:p w14:paraId="4D2B9699" w14:textId="77777777" w:rsidR="00466F80" w:rsidRDefault="00701F4F">
      <w:pPr>
        <w:spacing w:line="600" w:lineRule="exact"/>
        <w:ind w:firstLineChars="200" w:firstLine="544"/>
        <w:rPr>
          <w:rFonts w:ascii="方正仿宋_GBK" w:eastAsia="方正仿宋_GBK" w:hAnsi="方正仿宋_GBK" w:cs="方正仿宋_GBK"/>
          <w:b/>
          <w:bCs/>
          <w:kern w:val="0"/>
          <w:sz w:val="28"/>
          <w:szCs w:val="28"/>
          <w:shd w:val="clear" w:color="auto" w:fill="FFFFFF"/>
          <w:lang w:bidi="ar"/>
        </w:rPr>
      </w:pPr>
      <w:r>
        <w:rPr>
          <w:rFonts w:eastAsia="方正仿宋_GBK"/>
          <w:b/>
          <w:bCs/>
          <w:kern w:val="0"/>
          <w:sz w:val="28"/>
          <w:szCs w:val="28"/>
          <w:shd w:val="clear" w:color="auto" w:fill="FFFFFF"/>
          <w:lang w:bidi="ar"/>
        </w:rPr>
        <w:t>4.1</w:t>
      </w:r>
      <w:r>
        <w:rPr>
          <w:rFonts w:ascii="方正仿宋_GBK" w:eastAsia="方正仿宋_GBK" w:hAnsi="方正仿宋_GBK" w:cs="方正仿宋_GBK" w:hint="eastAsia"/>
          <w:b/>
          <w:bCs/>
          <w:kern w:val="0"/>
          <w:sz w:val="28"/>
          <w:szCs w:val="28"/>
          <w:shd w:val="clear" w:color="auto" w:fill="FFFFFF"/>
          <w:lang w:bidi="ar"/>
        </w:rPr>
        <w:t>依据标准</w:t>
      </w:r>
    </w:p>
    <w:p w14:paraId="69CDB117" w14:textId="77777777" w:rsidR="00780DC1" w:rsidRPr="00780DC1" w:rsidRDefault="00780DC1" w:rsidP="00780DC1">
      <w:pPr>
        <w:spacing w:line="600" w:lineRule="exact"/>
        <w:ind w:firstLineChars="200" w:firstLine="542"/>
        <w:rPr>
          <w:rFonts w:ascii="方正仿宋_GBK" w:eastAsia="方正仿宋_GBK" w:hAnsi="方正仿宋_GBK" w:cs="方正仿宋_GBK"/>
          <w:sz w:val="28"/>
          <w:szCs w:val="28"/>
        </w:rPr>
      </w:pPr>
      <w:r w:rsidRPr="00780DC1">
        <w:rPr>
          <w:rFonts w:ascii="方正仿宋_GBK" w:eastAsia="方正仿宋_GBK" w:hAnsi="方正仿宋_GBK" w:cs="方正仿宋_GBK" w:hint="eastAsia"/>
          <w:sz w:val="28"/>
          <w:szCs w:val="28"/>
        </w:rPr>
        <w:t>XF 1205-2014《灭火毯》</w:t>
      </w:r>
    </w:p>
    <w:p w14:paraId="70D6428E" w14:textId="30376325" w:rsidR="00466F80" w:rsidRDefault="00701F4F">
      <w:pPr>
        <w:spacing w:line="600" w:lineRule="exact"/>
        <w:ind w:firstLineChars="200" w:firstLine="542"/>
      </w:pPr>
      <w:r>
        <w:rPr>
          <w:rFonts w:ascii="方正仿宋_GBK" w:eastAsia="方正仿宋_GBK" w:hAnsi="方正仿宋_GBK" w:cs="方正仿宋_GBK" w:hint="eastAsia"/>
          <w:sz w:val="28"/>
          <w:szCs w:val="28"/>
        </w:rPr>
        <w:t>现行有效的企业标准、团体标准、地方标准及产品明示质量要求</w:t>
      </w:r>
    </w:p>
    <w:p w14:paraId="66C42D1B" w14:textId="77777777" w:rsidR="00466F80" w:rsidRDefault="00701F4F">
      <w:pPr>
        <w:spacing w:line="600" w:lineRule="exact"/>
        <w:ind w:firstLineChars="200" w:firstLine="544"/>
        <w:rPr>
          <w:rFonts w:ascii="方正黑体_GBK" w:eastAsia="方正黑体_GBK" w:hAnsi="方正仿宋_GBK" w:cs="方正仿宋_GBK"/>
          <w:kern w:val="0"/>
          <w:sz w:val="28"/>
          <w:szCs w:val="28"/>
          <w:shd w:val="clear" w:color="auto" w:fill="FFFFFF"/>
          <w:lang w:bidi="ar"/>
        </w:rPr>
      </w:pPr>
      <w:r>
        <w:rPr>
          <w:rFonts w:eastAsia="方正仿宋_GBK" w:hint="eastAsia"/>
          <w:b/>
          <w:bCs/>
          <w:kern w:val="0"/>
          <w:sz w:val="28"/>
          <w:szCs w:val="28"/>
          <w:shd w:val="clear" w:color="auto" w:fill="FFFFFF"/>
          <w:lang w:bidi="ar"/>
        </w:rPr>
        <w:t>4.2</w:t>
      </w:r>
      <w:r>
        <w:rPr>
          <w:rFonts w:eastAsia="方正仿宋_GBK" w:hint="eastAsia"/>
          <w:b/>
          <w:bCs/>
          <w:kern w:val="0"/>
          <w:sz w:val="28"/>
          <w:szCs w:val="28"/>
          <w:shd w:val="clear" w:color="auto" w:fill="FFFFFF"/>
          <w:lang w:bidi="ar"/>
        </w:rPr>
        <w:t>判定原则</w:t>
      </w:r>
    </w:p>
    <w:p w14:paraId="0F0357D4" w14:textId="77777777" w:rsidR="00466F80" w:rsidRDefault="00701F4F">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经检验，检验项目全部合格，判定为被抽查产品所检项目未发现不合格；检验项目中任一项或一项以上不合格，判定为被抽查产品不合格。</w:t>
      </w:r>
    </w:p>
    <w:p w14:paraId="0E4D0C87" w14:textId="77777777" w:rsidR="00466F80" w:rsidRDefault="00701F4F">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若被检产品明示的质量要求高于本细则中检验项目依据的标准要求时，应按被检产品明示的质量要求判定。</w:t>
      </w:r>
    </w:p>
    <w:p w14:paraId="3CE64679" w14:textId="77777777" w:rsidR="00466F80" w:rsidRDefault="00701F4F">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若被检产品明示的质量要求低于本细则中检验项目依据的强制性标准要求时，应按照强制性标准要求判定。</w:t>
      </w:r>
    </w:p>
    <w:p w14:paraId="692A68F8" w14:textId="77777777" w:rsidR="00466F80" w:rsidRDefault="00701F4F">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若被检产品明示的质量要求低于或包含本细则中检验项目依据的推荐性标准要求时，应以被检产品明示的质量要求判定。</w:t>
      </w:r>
    </w:p>
    <w:p w14:paraId="1B09EA35" w14:textId="77777777" w:rsidR="00466F80" w:rsidRDefault="00701F4F">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若被检产品明示的质量要求缺少本细则中检验项目依据的强制性标准要求时，应按照强制性标准要求判定。</w:t>
      </w:r>
    </w:p>
    <w:p w14:paraId="666AAD3F" w14:textId="77777777" w:rsidR="00466F80" w:rsidRDefault="00701F4F">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若被检产品明示的质量要求缺少本细则中检验项目依据的推荐性标准要求时，该项目不参与判定。</w:t>
      </w:r>
    </w:p>
    <w:sectPr w:rsidR="00466F80">
      <w:pgSz w:w="11906" w:h="16838"/>
      <w:pgMar w:top="2098" w:right="1474" w:bottom="1984" w:left="1587" w:header="851" w:footer="1417" w:gutter="0"/>
      <w:cols w:space="0"/>
      <w:titlePg/>
      <w:docGrid w:type="linesAndChars" w:linePitch="311" w:charSpace="-184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7832BC" w14:textId="77777777" w:rsidR="00701F4F" w:rsidRDefault="00701F4F" w:rsidP="008C696E">
      <w:pPr>
        <w:spacing w:after="0" w:line="240" w:lineRule="auto"/>
      </w:pPr>
      <w:r>
        <w:separator/>
      </w:r>
    </w:p>
  </w:endnote>
  <w:endnote w:type="continuationSeparator" w:id="0">
    <w:p w14:paraId="0198F8B0" w14:textId="77777777" w:rsidR="00701F4F" w:rsidRDefault="00701F4F" w:rsidP="008C69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19AEBE" w14:textId="77777777" w:rsidR="00701F4F" w:rsidRDefault="00701F4F" w:rsidP="008C696E">
      <w:pPr>
        <w:spacing w:after="0" w:line="240" w:lineRule="auto"/>
      </w:pPr>
      <w:r>
        <w:separator/>
      </w:r>
    </w:p>
  </w:footnote>
  <w:footnote w:type="continuationSeparator" w:id="0">
    <w:p w14:paraId="5941805D" w14:textId="77777777" w:rsidR="00701F4F" w:rsidRDefault="00701F4F" w:rsidP="008C69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7312FE"/>
    <w:multiLevelType w:val="singleLevel"/>
    <w:tmpl w:val="2A7312FE"/>
    <w:lvl w:ilvl="0">
      <w:start w:val="3"/>
      <w:numFmt w:val="decimal"/>
      <w:lvlText w:val="%1."/>
      <w:lvlJc w:val="left"/>
      <w:pPr>
        <w:tabs>
          <w:tab w:val="left" w:pos="312"/>
        </w:tabs>
      </w:pPr>
    </w:lvl>
  </w:abstractNum>
  <w:abstractNum w:abstractNumId="1" w15:restartNumberingAfterBreak="0">
    <w:nsid w:val="614D1A02"/>
    <w:multiLevelType w:val="multilevel"/>
    <w:tmpl w:val="614D1A02"/>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evenAndOddHeaders/>
  <w:drawingGridVerticalSpacing w:val="156"/>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6F80"/>
    <w:rsid w:val="00017B2D"/>
    <w:rsid w:val="00355DD8"/>
    <w:rsid w:val="00466F80"/>
    <w:rsid w:val="00701F4F"/>
    <w:rsid w:val="00780DC1"/>
    <w:rsid w:val="008C696E"/>
    <w:rsid w:val="00937DE9"/>
    <w:rsid w:val="00940C2B"/>
    <w:rsid w:val="00941B7A"/>
    <w:rsid w:val="00B81F68"/>
    <w:rsid w:val="00E43C3E"/>
    <w:rsid w:val="00E82F47"/>
    <w:rsid w:val="042018A7"/>
    <w:rsid w:val="247E6D63"/>
    <w:rsid w:val="25470D5C"/>
    <w:rsid w:val="3FD30DCD"/>
    <w:rsid w:val="4830235B"/>
    <w:rsid w:val="5BC2263F"/>
    <w:rsid w:val="70913C30"/>
    <w:rsid w:val="78735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04DB79"/>
  <w15:docId w15:val="{855DA9BE-7EA6-47E2-8270-B4B5C1959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pPr>
        <w:spacing w:after="160" w:line="278"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4"/>
    <w:qFormat/>
    <w:pPr>
      <w:widowControl w:val="0"/>
      <w:jc w:val="both"/>
    </w:pPr>
    <w:rPr>
      <w:rFonts w:ascii="Times New Roman" w:eastAsia="宋体" w:hAnsi="Times New Roman" w:cs="Times New Roman"/>
      <w:kern w:val="2"/>
      <w:sz w:val="21"/>
      <w:szCs w:val="24"/>
    </w:rPr>
  </w:style>
  <w:style w:type="paragraph" w:styleId="4">
    <w:name w:val="heading 4"/>
    <w:basedOn w:val="a"/>
    <w:next w:val="a"/>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after="120"/>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100</Words>
  <Characters>572</Characters>
  <Application>Microsoft Office Word</Application>
  <DocSecurity>0</DocSecurity>
  <Lines>4</Lines>
  <Paragraphs>1</Paragraphs>
  <ScaleCrop>false</ScaleCrop>
  <Company/>
  <LinksUpToDate>false</LinksUpToDate>
  <CharactersWithSpaces>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Kuang Qin</cp:lastModifiedBy>
  <cp:revision>8</cp:revision>
  <dcterms:created xsi:type="dcterms:W3CDTF">2024-12-18T07:14:00Z</dcterms:created>
  <dcterms:modified xsi:type="dcterms:W3CDTF">2026-06-26T03:44:00Z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