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4C316">
      <w:pPr>
        <w:overflowPunct w:val="0"/>
        <w:autoSpaceDE w:val="0"/>
        <w:autoSpaceDN w:val="0"/>
        <w:adjustRightInd w:val="0"/>
        <w:snapToGrid w:val="0"/>
        <w:spacing w:line="400" w:lineRule="atLeast"/>
        <w:jc w:val="center"/>
        <w:rPr>
          <w:rFonts w:hint="eastAsia" w:ascii="黑体" w:hAnsi="宋体" w:eastAsia="黑体" w:cs="Times New Roman"/>
          <w:sz w:val="32"/>
          <w:szCs w:val="32"/>
          <w:lang w:eastAsia="zh-CN"/>
        </w:rPr>
      </w:pPr>
      <w:r>
        <w:rPr>
          <w:rFonts w:hint="eastAsia" w:ascii="黑体" w:hAnsi="宋体" w:eastAsia="黑体" w:cs="Times New Roman"/>
          <w:sz w:val="32"/>
          <w:szCs w:val="32"/>
          <w:lang w:val="en-US" w:eastAsia="zh-CN"/>
        </w:rPr>
        <w:t>昆山市</w:t>
      </w:r>
      <w:r>
        <w:rPr>
          <w:rFonts w:hint="eastAsia" w:ascii="黑体" w:hAnsi="宋体" w:eastAsia="黑体" w:cs="Times New Roman"/>
          <w:sz w:val="32"/>
          <w:szCs w:val="32"/>
          <w:lang w:eastAsia="zh-CN"/>
        </w:rPr>
        <w:t>车用汽油产品质量监督抽查实施细则</w:t>
      </w:r>
      <w:r>
        <w:rPr>
          <w:rFonts w:hint="eastAsia" w:ascii="黑体" w:hAnsi="宋体" w:eastAsia="黑体" w:cs="Times New Roman"/>
          <w:sz w:val="32"/>
          <w:szCs w:val="32"/>
          <w:lang w:eastAsia="zh-CN"/>
        </w:rPr>
        <w:br w:type="textWrapping"/>
      </w:r>
      <w:r>
        <w:rPr>
          <w:rFonts w:hint="eastAsia" w:ascii="黑体" w:hAnsi="宋体" w:eastAsia="黑体" w:cs="Times New Roman"/>
          <w:sz w:val="32"/>
          <w:szCs w:val="32"/>
          <w:lang w:eastAsia="zh-CN"/>
        </w:rPr>
        <w:t>（202</w:t>
      </w:r>
      <w:r>
        <w:rPr>
          <w:rFonts w:hint="eastAsia" w:ascii="黑体" w:hAnsi="宋体" w:eastAsia="黑体" w:cs="Times New Roman"/>
          <w:sz w:val="32"/>
          <w:szCs w:val="32"/>
          <w:lang w:val="en-US" w:eastAsia="zh-CN"/>
        </w:rPr>
        <w:t>6</w:t>
      </w:r>
      <w:r>
        <w:rPr>
          <w:rFonts w:hint="eastAsia" w:ascii="黑体" w:hAnsi="宋体" w:eastAsia="黑体" w:cs="Times New Roman"/>
          <w:sz w:val="32"/>
          <w:szCs w:val="32"/>
          <w:lang w:eastAsia="zh-CN"/>
        </w:rPr>
        <w:t>年版）</w:t>
      </w:r>
    </w:p>
    <w:p w14:paraId="172CF411">
      <w:pPr>
        <w:pStyle w:val="64"/>
      </w:pPr>
    </w:p>
    <w:p w14:paraId="329BF82F">
      <w:pPr>
        <w:spacing w:line="600" w:lineRule="exact"/>
        <w:ind w:firstLine="560" w:firstLineChars="200"/>
        <w:rPr>
          <w:rFonts w:hint="eastAsia" w:ascii="方正黑体_GBK" w:hAnsi="方正仿宋_GBK" w:eastAsia="方正黑体_GBK" w:cs="方正仿宋_GBK"/>
          <w:color w:val="000000"/>
          <w:kern w:val="0"/>
          <w:sz w:val="28"/>
          <w:szCs w:val="28"/>
          <w:shd w:val="clear" w:color="auto" w:fill="FFFFFF"/>
          <w:lang w:bidi="ar"/>
        </w:rPr>
      </w:pPr>
      <w:r>
        <w:rPr>
          <w:rFonts w:ascii="Times New Roman" w:hAnsi="Times New Roman" w:eastAsia="黑体"/>
          <w:bCs/>
          <w:color w:val="000000"/>
          <w:sz w:val="28"/>
          <w:szCs w:val="28"/>
        </w:rPr>
        <w:t>1.</w:t>
      </w:r>
      <w:r>
        <w:rPr>
          <w:rFonts w:hint="eastAsia" w:ascii="方正黑体_GBK" w:hAnsi="方正仿宋_GBK" w:eastAsia="方正黑体_GBK" w:cs="方正仿宋_GBK"/>
          <w:color w:val="000000"/>
          <w:kern w:val="0"/>
          <w:sz w:val="28"/>
          <w:szCs w:val="28"/>
          <w:shd w:val="clear" w:color="auto" w:fill="FFFFFF"/>
          <w:lang w:bidi="ar"/>
        </w:rPr>
        <w:t>范围</w:t>
      </w:r>
    </w:p>
    <w:p w14:paraId="248CEBE8">
      <w:pPr>
        <w:spacing w:line="560" w:lineRule="exact"/>
        <w:ind w:firstLine="56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28"/>
          <w:szCs w:val="28"/>
        </w:rPr>
        <w:t>本细则适用于</w:t>
      </w:r>
      <w:r>
        <w:rPr>
          <w:rFonts w:hint="eastAsia" w:ascii="方正仿宋_GBK" w:hAnsi="方正仿宋_GBK" w:eastAsia="方正仿宋_GBK" w:cs="方正仿宋_GBK"/>
          <w:color w:val="000000"/>
          <w:sz w:val="28"/>
          <w:szCs w:val="28"/>
          <w:lang w:val="en-US" w:eastAsia="zh-CN"/>
        </w:rPr>
        <w:t>昆山市</w:t>
      </w:r>
      <w:r>
        <w:rPr>
          <w:rFonts w:hint="eastAsia" w:ascii="方正仿宋_GBK" w:hAnsi="方正仿宋_GBK" w:eastAsia="方正仿宋_GBK" w:cs="方正仿宋_GBK"/>
          <w:color w:val="000000"/>
          <w:sz w:val="28"/>
          <w:szCs w:val="28"/>
        </w:rPr>
        <w:t>车用汽油产品质量监督抽查检验。本细则规定了此产品的抽样方法、检验依据、检验项目、检验方法、</w:t>
      </w:r>
      <w:r>
        <w:rPr>
          <w:rFonts w:hint="eastAsia" w:ascii="方正仿宋_GBK" w:hAnsi="方正仿宋_GBK" w:eastAsia="方正仿宋_GBK" w:cs="方正仿宋_GBK"/>
          <w:sz w:val="28"/>
          <w:szCs w:val="28"/>
        </w:rPr>
        <w:t>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r>
        <w:rPr>
          <w:rFonts w:hint="eastAsia" w:ascii="方正仿宋_GBK" w:hAnsi="方正仿宋_GBK" w:eastAsia="方正仿宋_GBK" w:cs="方正仿宋_GBK"/>
          <w:color w:val="000000"/>
          <w:sz w:val="28"/>
          <w:szCs w:val="28"/>
        </w:rPr>
        <w:t>。</w:t>
      </w:r>
    </w:p>
    <w:p w14:paraId="4D42EC09">
      <w:pPr>
        <w:spacing w:line="600" w:lineRule="exact"/>
        <w:ind w:firstLine="560" w:firstLineChars="200"/>
        <w:rPr>
          <w:rFonts w:hint="eastAsia" w:ascii="Times New Roman" w:hAnsi="Times New Roman" w:eastAsia="黑体" w:cs="Times New Roman"/>
          <w:bCs/>
          <w:color w:val="000000"/>
          <w:sz w:val="28"/>
          <w:szCs w:val="28"/>
        </w:rPr>
      </w:pPr>
      <w:r>
        <w:rPr>
          <w:rFonts w:hint="eastAsia" w:ascii="Times New Roman" w:hAnsi="Times New Roman" w:eastAsia="黑体" w:cs="Times New Roman"/>
          <w:bCs/>
          <w:color w:val="000000"/>
          <w:sz w:val="28"/>
          <w:szCs w:val="28"/>
        </w:rPr>
        <w:t>2.抽样方法</w:t>
      </w:r>
    </w:p>
    <w:p w14:paraId="1B65FD6C">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Times New Roman" w:hAnsi="Times New Roman" w:eastAsia="方正仿宋_GBK" w:cs="Times New Roman"/>
          <w:b/>
          <w:bCs/>
          <w:sz w:val="28"/>
          <w:szCs w:val="28"/>
          <w:lang w:val="en-US" w:eastAsia="zh-CN"/>
        </w:rPr>
      </w:pPr>
      <w:r>
        <w:rPr>
          <w:rFonts w:hint="eastAsia" w:ascii="Times New Roman" w:hAnsi="Times New Roman" w:eastAsia="方正仿宋_GBK" w:cs="Times New Roman"/>
          <w:b/>
          <w:bCs/>
          <w:sz w:val="28"/>
          <w:szCs w:val="28"/>
          <w:lang w:val="en-US" w:eastAsia="zh-CN"/>
        </w:rPr>
        <w:t>2.1生产企业、实体店抽样</w:t>
      </w:r>
    </w:p>
    <w:p w14:paraId="7B93FDF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在受检企</w:t>
      </w:r>
      <w:bookmarkStart w:id="0" w:name="_GoBack"/>
      <w:bookmarkEnd w:id="0"/>
      <w:r>
        <w:rPr>
          <w:rFonts w:hint="eastAsia" w:ascii="方正仿宋_GBK" w:hAnsi="方正仿宋_GBK" w:eastAsia="方正仿宋_GBK" w:cs="方正仿宋_GBK"/>
          <w:sz w:val="28"/>
          <w:szCs w:val="28"/>
        </w:rPr>
        <w:t>业的成品仓库或者其确认场所，随机抽取有产品质量检验合格证明或者其他形式表明合格的待销产品，抽样基数应满足抽样要求。抽样过程均需拍照留证。一经抽样，立即封样，任何人不得调换。</w:t>
      </w:r>
    </w:p>
    <w:p w14:paraId="0541780A">
      <w:pPr>
        <w:spacing w:line="600" w:lineRule="exact"/>
        <w:ind w:firstLine="560" w:firstLineChars="200"/>
        <w:rPr>
          <w:rFonts w:hint="eastAsia" w:ascii="Times New Roman" w:hAnsi="Times New Roman" w:eastAsia="黑体" w:cs="Times New Roman"/>
          <w:bCs/>
          <w:color w:val="000000"/>
          <w:sz w:val="28"/>
          <w:szCs w:val="28"/>
        </w:rPr>
      </w:pPr>
      <w:r>
        <w:rPr>
          <w:rFonts w:hint="eastAsia" w:ascii="Times New Roman" w:hAnsi="Times New Roman" w:eastAsia="黑体" w:cs="Times New Roman"/>
          <w:bCs/>
          <w:color w:val="000000"/>
          <w:sz w:val="28"/>
          <w:szCs w:val="28"/>
        </w:rPr>
        <w:t xml:space="preserve">3.检验依据 </w:t>
      </w:r>
    </w:p>
    <w:tbl>
      <w:tblPr>
        <w:tblStyle w:val="48"/>
        <w:tblW w:w="4357" w:type="pct"/>
        <w:tblInd w:w="5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3407"/>
        <w:gridCol w:w="3211"/>
      </w:tblGrid>
      <w:tr w14:paraId="17595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blHeader/>
        </w:trPr>
        <w:tc>
          <w:tcPr>
            <w:tcW w:w="846" w:type="pct"/>
            <w:vAlign w:val="center"/>
          </w:tcPr>
          <w:p w14:paraId="09157F7C">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序号</w:t>
            </w:r>
          </w:p>
        </w:tc>
        <w:tc>
          <w:tcPr>
            <w:tcW w:w="2138" w:type="pct"/>
            <w:vAlign w:val="center"/>
          </w:tcPr>
          <w:p w14:paraId="18C87305">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检验项目</w:t>
            </w:r>
          </w:p>
        </w:tc>
        <w:tc>
          <w:tcPr>
            <w:tcW w:w="2015" w:type="pct"/>
            <w:vAlign w:val="center"/>
          </w:tcPr>
          <w:p w14:paraId="2D0E4427">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检验方法</w:t>
            </w:r>
          </w:p>
        </w:tc>
      </w:tr>
      <w:tr w14:paraId="3EAF3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59CB21FF">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1</w:t>
            </w:r>
          </w:p>
        </w:tc>
        <w:tc>
          <w:tcPr>
            <w:tcW w:w="3407" w:type="dxa"/>
            <w:vAlign w:val="center"/>
          </w:tcPr>
          <w:p w14:paraId="60E40AB4">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抗爆性-研究法辛烷值</w:t>
            </w:r>
          </w:p>
        </w:tc>
        <w:tc>
          <w:tcPr>
            <w:tcW w:w="3211" w:type="dxa"/>
            <w:vAlign w:val="center"/>
          </w:tcPr>
          <w:p w14:paraId="46AEE5B5">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5487-2015</w:t>
            </w:r>
          </w:p>
        </w:tc>
      </w:tr>
      <w:tr w14:paraId="38D2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62F044A5">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2</w:t>
            </w:r>
          </w:p>
        </w:tc>
        <w:tc>
          <w:tcPr>
            <w:tcW w:w="3407" w:type="dxa"/>
            <w:vAlign w:val="center"/>
          </w:tcPr>
          <w:p w14:paraId="36865B6A">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抗爆性-抗爆指数</w:t>
            </w:r>
          </w:p>
        </w:tc>
        <w:tc>
          <w:tcPr>
            <w:tcW w:w="3211" w:type="dxa"/>
            <w:vAlign w:val="center"/>
          </w:tcPr>
          <w:p w14:paraId="357E6244">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5487-2015</w:t>
            </w:r>
            <w:r>
              <w:rPr>
                <w:rFonts w:hint="eastAsia" w:ascii="方正仿宋_GBK" w:hAnsi="方正仿宋_GBK" w:eastAsia="方正仿宋_GBK" w:cs="方正仿宋_GBK"/>
                <w:snapToGrid w:val="0"/>
                <w:sz w:val="24"/>
                <w:lang w:eastAsia="en-US"/>
              </w:rPr>
              <w:t xml:space="preserve">             </w:t>
            </w:r>
            <w:r>
              <w:rPr>
                <w:rFonts w:ascii="方正仿宋_GBK" w:hAnsi="方正仿宋_GBK" w:eastAsia="方正仿宋_GBK" w:cs="方正仿宋_GBK"/>
                <w:snapToGrid w:val="0"/>
                <w:sz w:val="24"/>
                <w:lang w:eastAsia="en-US"/>
              </w:rPr>
              <w:t>GB/T 503-2016</w:t>
            </w:r>
          </w:p>
        </w:tc>
      </w:tr>
      <w:tr w14:paraId="20A9D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1072CBA9">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3</w:t>
            </w:r>
          </w:p>
        </w:tc>
        <w:tc>
          <w:tcPr>
            <w:tcW w:w="3407" w:type="dxa"/>
            <w:vAlign w:val="center"/>
          </w:tcPr>
          <w:p w14:paraId="1EFBC2A7">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铅含量</w:t>
            </w:r>
          </w:p>
        </w:tc>
        <w:tc>
          <w:tcPr>
            <w:tcW w:w="3211" w:type="dxa"/>
            <w:vAlign w:val="center"/>
          </w:tcPr>
          <w:p w14:paraId="0125C2AB">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8020-2015</w:t>
            </w:r>
          </w:p>
        </w:tc>
      </w:tr>
      <w:tr w14:paraId="4783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2ED965E4">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val="en-US" w:eastAsia="zh-CN"/>
              </w:rPr>
              <w:t>4</w:t>
            </w:r>
          </w:p>
        </w:tc>
        <w:tc>
          <w:tcPr>
            <w:tcW w:w="3407" w:type="dxa"/>
            <w:vAlign w:val="center"/>
          </w:tcPr>
          <w:p w14:paraId="6526B6FA">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诱导期</w:t>
            </w:r>
          </w:p>
        </w:tc>
        <w:tc>
          <w:tcPr>
            <w:tcW w:w="3211" w:type="dxa"/>
            <w:vAlign w:val="center"/>
          </w:tcPr>
          <w:p w14:paraId="40BDAC2F">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8018-2015</w:t>
            </w:r>
          </w:p>
        </w:tc>
      </w:tr>
      <w:tr w14:paraId="67824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7D7A3507">
            <w:pPr>
              <w:jc w:val="center"/>
              <w:rPr>
                <w:rFonts w:hint="eastAsia" w:ascii="方正仿宋_GBK" w:hAnsi="方正仿宋_GBK" w:eastAsia="方正仿宋_GBK" w:cs="方正仿宋_GBK"/>
                <w:snapToGrid w:val="0"/>
                <w:sz w:val="24"/>
                <w:lang w:eastAsia="zh-CN"/>
              </w:rPr>
            </w:pPr>
            <w:r>
              <w:rPr>
                <w:rFonts w:hint="eastAsia" w:ascii="方正仿宋_GBK" w:hAnsi="方正仿宋_GBK" w:eastAsia="方正仿宋_GBK" w:cs="方正仿宋_GBK"/>
                <w:snapToGrid w:val="0"/>
                <w:sz w:val="24"/>
                <w:lang w:val="en-US" w:eastAsia="zh-CN"/>
              </w:rPr>
              <w:t>5</w:t>
            </w:r>
          </w:p>
        </w:tc>
        <w:tc>
          <w:tcPr>
            <w:tcW w:w="3407" w:type="dxa"/>
            <w:vAlign w:val="center"/>
          </w:tcPr>
          <w:p w14:paraId="545141C1">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硫含量</w:t>
            </w:r>
          </w:p>
        </w:tc>
        <w:tc>
          <w:tcPr>
            <w:tcW w:w="3211" w:type="dxa"/>
            <w:vAlign w:val="center"/>
          </w:tcPr>
          <w:p w14:paraId="60924C34">
            <w:pPr>
              <w:jc w:val="center"/>
              <w:rPr>
                <w:rFonts w:hint="default" w:ascii="方正仿宋_GBK" w:hAnsi="方正仿宋_GBK" w:eastAsia="方正仿宋_GBK" w:cs="方正仿宋_GBK"/>
                <w:snapToGrid w:val="0"/>
                <w:sz w:val="24"/>
                <w:lang w:val="en-US" w:eastAsia="zh-CN"/>
              </w:rPr>
            </w:pPr>
            <w:r>
              <w:rPr>
                <w:rFonts w:ascii="方正仿宋_GBK" w:hAnsi="方正仿宋_GBK" w:eastAsia="方正仿宋_GBK" w:cs="方正仿宋_GBK"/>
                <w:snapToGrid w:val="0"/>
                <w:sz w:val="24"/>
                <w:lang w:eastAsia="en-US"/>
              </w:rPr>
              <w:t>SH/T 0689-2000</w:t>
            </w:r>
          </w:p>
        </w:tc>
      </w:tr>
      <w:tr w14:paraId="482CD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0B2255CC">
            <w:pPr>
              <w:jc w:val="center"/>
              <w:rPr>
                <w:rFonts w:hint="eastAsia" w:ascii="方正仿宋_GBK" w:hAnsi="方正仿宋_GBK" w:eastAsia="方正仿宋_GBK" w:cs="方正仿宋_GBK"/>
                <w:snapToGrid w:val="0"/>
                <w:sz w:val="24"/>
                <w:lang w:eastAsia="zh-CN"/>
              </w:rPr>
            </w:pPr>
            <w:r>
              <w:rPr>
                <w:rFonts w:hint="eastAsia" w:ascii="方正仿宋_GBK" w:hAnsi="方正仿宋_GBK" w:eastAsia="方正仿宋_GBK" w:cs="方正仿宋_GBK"/>
                <w:snapToGrid w:val="0"/>
                <w:sz w:val="24"/>
                <w:lang w:val="en-US" w:eastAsia="zh-CN"/>
              </w:rPr>
              <w:t>6</w:t>
            </w:r>
          </w:p>
        </w:tc>
        <w:tc>
          <w:tcPr>
            <w:tcW w:w="3407" w:type="dxa"/>
            <w:vAlign w:val="center"/>
          </w:tcPr>
          <w:p w14:paraId="3F42392B">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硫醇（博士试验）</w:t>
            </w:r>
          </w:p>
        </w:tc>
        <w:tc>
          <w:tcPr>
            <w:tcW w:w="3211" w:type="dxa"/>
            <w:vAlign w:val="center"/>
          </w:tcPr>
          <w:p w14:paraId="63622B88">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NB/SH/T 0174-2015</w:t>
            </w:r>
          </w:p>
        </w:tc>
      </w:tr>
      <w:tr w14:paraId="11E7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7C6CCCAB">
            <w:pPr>
              <w:jc w:val="center"/>
              <w:rPr>
                <w:rFonts w:hint="eastAsia" w:ascii="方正仿宋_GBK" w:hAnsi="方正仿宋_GBK" w:eastAsia="方正仿宋_GBK" w:cs="方正仿宋_GBK"/>
                <w:snapToGrid w:val="0"/>
                <w:sz w:val="24"/>
                <w:lang w:eastAsia="zh-CN"/>
              </w:rPr>
            </w:pPr>
            <w:r>
              <w:rPr>
                <w:rFonts w:hint="eastAsia" w:ascii="方正仿宋_GBK" w:hAnsi="方正仿宋_GBK" w:eastAsia="方正仿宋_GBK" w:cs="方正仿宋_GBK"/>
                <w:snapToGrid w:val="0"/>
                <w:sz w:val="24"/>
                <w:lang w:val="en-US" w:eastAsia="zh-CN"/>
              </w:rPr>
              <w:t>7</w:t>
            </w:r>
          </w:p>
        </w:tc>
        <w:tc>
          <w:tcPr>
            <w:tcW w:w="3407" w:type="dxa"/>
            <w:vAlign w:val="center"/>
          </w:tcPr>
          <w:p w14:paraId="74F4A6AB">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苯含量</w:t>
            </w:r>
          </w:p>
        </w:tc>
        <w:tc>
          <w:tcPr>
            <w:tcW w:w="3211" w:type="dxa"/>
            <w:vAlign w:val="center"/>
          </w:tcPr>
          <w:p w14:paraId="7C7AE674">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30519-20</w:t>
            </w:r>
            <w:r>
              <w:rPr>
                <w:rFonts w:hint="eastAsia" w:ascii="方正仿宋_GBK" w:hAnsi="方正仿宋_GBK" w:eastAsia="方正仿宋_GBK" w:cs="方正仿宋_GBK"/>
                <w:snapToGrid w:val="0"/>
                <w:sz w:val="24"/>
                <w:lang w:eastAsia="en-US"/>
              </w:rPr>
              <w:t>24</w:t>
            </w:r>
          </w:p>
        </w:tc>
      </w:tr>
      <w:tr w14:paraId="1E4C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09135C45">
            <w:pPr>
              <w:jc w:val="center"/>
              <w:rPr>
                <w:rFonts w:hint="eastAsia" w:ascii="方正仿宋_GBK" w:hAnsi="方正仿宋_GBK" w:eastAsia="方正仿宋_GBK" w:cs="方正仿宋_GBK"/>
                <w:snapToGrid w:val="0"/>
                <w:sz w:val="24"/>
                <w:lang w:eastAsia="zh-CN"/>
              </w:rPr>
            </w:pPr>
            <w:r>
              <w:rPr>
                <w:rFonts w:hint="eastAsia" w:ascii="方正仿宋_GBK" w:hAnsi="方正仿宋_GBK" w:eastAsia="方正仿宋_GBK" w:cs="方正仿宋_GBK"/>
                <w:snapToGrid w:val="0"/>
                <w:sz w:val="24"/>
                <w:lang w:val="en-US" w:eastAsia="zh-CN"/>
              </w:rPr>
              <w:t>8</w:t>
            </w:r>
          </w:p>
        </w:tc>
        <w:tc>
          <w:tcPr>
            <w:tcW w:w="3407" w:type="dxa"/>
            <w:vAlign w:val="center"/>
          </w:tcPr>
          <w:p w14:paraId="46C77891">
            <w:pPr>
              <w:jc w:val="center"/>
              <w:rPr>
                <w:rFonts w:hint="eastAsia" w:ascii="方正仿宋_GBK" w:hAnsi="方正仿宋_GBK" w:eastAsia="方正仿宋_GBK" w:cs="方正仿宋_GBK"/>
                <w:snapToGrid w:val="0"/>
                <w:sz w:val="24"/>
                <w:lang w:eastAsia="en-US"/>
              </w:rPr>
            </w:pPr>
            <w:r>
              <w:rPr>
                <w:rFonts w:hint="eastAsia" w:ascii="方正仿宋_GBK" w:hAnsi="方正仿宋_GBK" w:eastAsia="方正仿宋_GBK" w:cs="方正仿宋_GBK"/>
                <w:snapToGrid w:val="0"/>
                <w:sz w:val="24"/>
                <w:lang w:eastAsia="en-US"/>
              </w:rPr>
              <w:t>芳烃含量</w:t>
            </w:r>
          </w:p>
        </w:tc>
        <w:tc>
          <w:tcPr>
            <w:tcW w:w="3211" w:type="dxa"/>
            <w:vAlign w:val="center"/>
          </w:tcPr>
          <w:p w14:paraId="15E1F7A6">
            <w:pPr>
              <w:jc w:val="center"/>
              <w:rPr>
                <w:rFonts w:hint="eastAsia" w:ascii="方正仿宋_GBK" w:hAnsi="方正仿宋_GBK" w:eastAsia="方正仿宋_GBK" w:cs="方正仿宋_GBK"/>
                <w:snapToGrid w:val="0"/>
                <w:sz w:val="24"/>
                <w:lang w:eastAsia="en-US"/>
              </w:rPr>
            </w:pPr>
            <w:r>
              <w:rPr>
                <w:rFonts w:ascii="方正仿宋_GBK" w:hAnsi="方正仿宋_GBK" w:eastAsia="方正仿宋_GBK" w:cs="方正仿宋_GBK"/>
                <w:snapToGrid w:val="0"/>
                <w:sz w:val="24"/>
                <w:lang w:eastAsia="en-US"/>
              </w:rPr>
              <w:t>GB/T 30519-20</w:t>
            </w:r>
            <w:r>
              <w:rPr>
                <w:rFonts w:hint="eastAsia" w:ascii="方正仿宋_GBK" w:hAnsi="方正仿宋_GBK" w:eastAsia="方正仿宋_GBK" w:cs="方正仿宋_GBK"/>
                <w:snapToGrid w:val="0"/>
                <w:sz w:val="24"/>
                <w:lang w:eastAsia="en-US"/>
              </w:rPr>
              <w:t>24</w:t>
            </w:r>
          </w:p>
        </w:tc>
      </w:tr>
      <w:tr w14:paraId="0F8E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40980027">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9</w:t>
            </w:r>
          </w:p>
        </w:tc>
        <w:tc>
          <w:tcPr>
            <w:tcW w:w="3407" w:type="dxa"/>
            <w:vAlign w:val="center"/>
          </w:tcPr>
          <w:p w14:paraId="6B28A929">
            <w:pPr>
              <w:jc w:val="center"/>
              <w:rPr>
                <w:rFonts w:hint="eastAsia" w:ascii="方正仿宋_GBK" w:hAnsi="方正仿宋_GBK" w:eastAsia="方正仿宋_GBK" w:cs="方正仿宋_GBK"/>
                <w:snapToGrid w:val="0"/>
                <w:color w:val="auto"/>
                <w:kern w:val="2"/>
                <w:sz w:val="24"/>
                <w:szCs w:val="24"/>
                <w:lang w:val="en-US" w:eastAsia="en-US" w:bidi="ar-SA"/>
              </w:rPr>
            </w:pPr>
            <w:r>
              <w:rPr>
                <w:rFonts w:hint="eastAsia" w:ascii="方正仿宋_GBK" w:hAnsi="方正仿宋_GBK" w:eastAsia="方正仿宋_GBK" w:cs="方正仿宋_GBK"/>
                <w:snapToGrid w:val="0"/>
                <w:sz w:val="24"/>
                <w:lang w:eastAsia="en-US"/>
              </w:rPr>
              <w:t>烯烃含量</w:t>
            </w:r>
          </w:p>
        </w:tc>
        <w:tc>
          <w:tcPr>
            <w:tcW w:w="3211" w:type="dxa"/>
            <w:vAlign w:val="center"/>
          </w:tcPr>
          <w:p w14:paraId="4BDB5CD5">
            <w:pPr>
              <w:jc w:val="center"/>
              <w:rPr>
                <w:rFonts w:hint="eastAsia" w:ascii="方正仿宋_GBK" w:hAnsi="方正仿宋_GBK" w:eastAsia="方正仿宋_GBK" w:cs="方正仿宋_GBK"/>
                <w:snapToGrid w:val="0"/>
                <w:color w:val="auto"/>
                <w:kern w:val="2"/>
                <w:sz w:val="24"/>
                <w:szCs w:val="24"/>
                <w:lang w:val="en-US" w:eastAsia="en-US" w:bidi="ar-SA"/>
              </w:rPr>
            </w:pPr>
            <w:r>
              <w:rPr>
                <w:rFonts w:ascii="方正仿宋_GBK" w:hAnsi="方正仿宋_GBK" w:eastAsia="方正仿宋_GBK" w:cs="方正仿宋_GBK"/>
                <w:snapToGrid w:val="0"/>
                <w:sz w:val="24"/>
                <w:lang w:eastAsia="en-US"/>
              </w:rPr>
              <w:t>GB/T 30519-20</w:t>
            </w:r>
            <w:r>
              <w:rPr>
                <w:rFonts w:hint="eastAsia" w:ascii="方正仿宋_GBK" w:hAnsi="方正仿宋_GBK" w:eastAsia="方正仿宋_GBK" w:cs="方正仿宋_GBK"/>
                <w:snapToGrid w:val="0"/>
                <w:sz w:val="24"/>
                <w:lang w:eastAsia="en-US"/>
              </w:rPr>
              <w:t>24</w:t>
            </w:r>
          </w:p>
        </w:tc>
      </w:tr>
      <w:tr w14:paraId="6875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5C8DDC4C">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10</w:t>
            </w:r>
          </w:p>
        </w:tc>
        <w:tc>
          <w:tcPr>
            <w:tcW w:w="3407" w:type="dxa"/>
            <w:vAlign w:val="center"/>
          </w:tcPr>
          <w:p w14:paraId="16961F3F">
            <w:pPr>
              <w:jc w:val="center"/>
              <w:rPr>
                <w:rFonts w:hint="eastAsia" w:ascii="方正仿宋_GBK" w:hAnsi="方正仿宋_GBK" w:eastAsia="方正仿宋_GBK" w:cs="方正仿宋_GBK"/>
                <w:snapToGrid w:val="0"/>
                <w:color w:val="auto"/>
                <w:kern w:val="2"/>
                <w:sz w:val="24"/>
                <w:szCs w:val="24"/>
                <w:lang w:val="en-US" w:eastAsia="en-US" w:bidi="ar-SA"/>
              </w:rPr>
            </w:pPr>
            <w:r>
              <w:rPr>
                <w:rFonts w:hint="eastAsia" w:ascii="方正仿宋_GBK" w:hAnsi="方正仿宋_GBK" w:eastAsia="方正仿宋_GBK" w:cs="方正仿宋_GBK"/>
                <w:snapToGrid w:val="0"/>
                <w:sz w:val="24"/>
                <w:lang w:eastAsia="en-US"/>
              </w:rPr>
              <w:t>氧含量</w:t>
            </w:r>
          </w:p>
        </w:tc>
        <w:tc>
          <w:tcPr>
            <w:tcW w:w="3211" w:type="dxa"/>
            <w:vAlign w:val="center"/>
          </w:tcPr>
          <w:p w14:paraId="40B14456">
            <w:pPr>
              <w:jc w:val="center"/>
              <w:rPr>
                <w:rFonts w:hint="eastAsia" w:ascii="方正仿宋_GBK" w:hAnsi="方正仿宋_GBK" w:eastAsia="方正仿宋_GBK" w:cs="方正仿宋_GBK"/>
                <w:snapToGrid w:val="0"/>
                <w:color w:val="auto"/>
                <w:kern w:val="2"/>
                <w:sz w:val="24"/>
                <w:szCs w:val="24"/>
                <w:lang w:val="en-US" w:eastAsia="en-US" w:bidi="ar-SA"/>
              </w:rPr>
            </w:pPr>
            <w:r>
              <w:rPr>
                <w:rFonts w:ascii="方正仿宋_GBK" w:hAnsi="方正仿宋_GBK" w:eastAsia="方正仿宋_GBK" w:cs="方正仿宋_GBK"/>
                <w:snapToGrid w:val="0"/>
                <w:sz w:val="24"/>
                <w:lang w:eastAsia="en-US"/>
              </w:rPr>
              <w:t>NB/SH/T 0663-2014</w:t>
            </w:r>
          </w:p>
        </w:tc>
      </w:tr>
      <w:tr w14:paraId="4AD6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1007C855">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11</w:t>
            </w:r>
          </w:p>
        </w:tc>
        <w:tc>
          <w:tcPr>
            <w:tcW w:w="3407" w:type="dxa"/>
            <w:vAlign w:val="center"/>
          </w:tcPr>
          <w:p w14:paraId="26BAC4F8">
            <w:pPr>
              <w:jc w:val="center"/>
              <w:rPr>
                <w:rFonts w:hint="eastAsia" w:ascii="方正仿宋_GBK" w:hAnsi="方正仿宋_GBK" w:eastAsia="方正仿宋_GBK" w:cs="方正仿宋_GBK"/>
                <w:snapToGrid w:val="0"/>
                <w:color w:val="auto"/>
                <w:kern w:val="2"/>
                <w:sz w:val="24"/>
                <w:szCs w:val="24"/>
                <w:lang w:val="en-US" w:eastAsia="en-US" w:bidi="ar-SA"/>
              </w:rPr>
            </w:pPr>
            <w:r>
              <w:rPr>
                <w:rFonts w:hint="eastAsia" w:ascii="方正仿宋_GBK" w:hAnsi="方正仿宋_GBK" w:eastAsia="方正仿宋_GBK" w:cs="方正仿宋_GBK"/>
                <w:snapToGrid w:val="0"/>
                <w:sz w:val="24"/>
                <w:lang w:eastAsia="en-US"/>
              </w:rPr>
              <w:t>甲醇含量</w:t>
            </w:r>
          </w:p>
        </w:tc>
        <w:tc>
          <w:tcPr>
            <w:tcW w:w="3211" w:type="dxa"/>
            <w:vAlign w:val="center"/>
          </w:tcPr>
          <w:p w14:paraId="330CC3DE">
            <w:pPr>
              <w:jc w:val="center"/>
              <w:rPr>
                <w:rFonts w:hint="eastAsia" w:ascii="方正仿宋_GBK" w:hAnsi="方正仿宋_GBK" w:eastAsia="方正仿宋_GBK" w:cs="方正仿宋_GBK"/>
                <w:snapToGrid w:val="0"/>
                <w:color w:val="auto"/>
                <w:kern w:val="2"/>
                <w:sz w:val="24"/>
                <w:szCs w:val="24"/>
                <w:lang w:val="en-US" w:eastAsia="en-US" w:bidi="ar-SA"/>
              </w:rPr>
            </w:pPr>
            <w:r>
              <w:rPr>
                <w:rFonts w:ascii="方正仿宋_GBK" w:hAnsi="方正仿宋_GBK" w:eastAsia="方正仿宋_GBK" w:cs="方正仿宋_GBK"/>
                <w:snapToGrid w:val="0"/>
                <w:sz w:val="24"/>
                <w:lang w:eastAsia="en-US"/>
              </w:rPr>
              <w:t>NB/SH/T 0663-2014</w:t>
            </w:r>
          </w:p>
        </w:tc>
      </w:tr>
      <w:tr w14:paraId="16E72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219A3DFC">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12</w:t>
            </w:r>
          </w:p>
        </w:tc>
        <w:tc>
          <w:tcPr>
            <w:tcW w:w="3407" w:type="dxa"/>
            <w:vAlign w:val="center"/>
          </w:tcPr>
          <w:p w14:paraId="688ED4B8">
            <w:pPr>
              <w:jc w:val="center"/>
              <w:rPr>
                <w:rFonts w:hint="eastAsia" w:ascii="方正仿宋_GBK" w:hAnsi="方正仿宋_GBK" w:eastAsia="方正仿宋_GBK" w:cs="方正仿宋_GBK"/>
                <w:snapToGrid w:val="0"/>
                <w:color w:val="auto"/>
                <w:kern w:val="2"/>
                <w:sz w:val="24"/>
                <w:szCs w:val="24"/>
                <w:lang w:val="en-US" w:eastAsia="en-US" w:bidi="ar-SA"/>
              </w:rPr>
            </w:pPr>
            <w:r>
              <w:rPr>
                <w:rFonts w:hint="eastAsia" w:ascii="方正仿宋_GBK" w:hAnsi="方正仿宋_GBK" w:eastAsia="方正仿宋_GBK" w:cs="方正仿宋_GBK"/>
                <w:snapToGrid w:val="0"/>
                <w:sz w:val="24"/>
                <w:lang w:eastAsia="en-US"/>
              </w:rPr>
              <w:t>锰含量</w:t>
            </w:r>
          </w:p>
        </w:tc>
        <w:tc>
          <w:tcPr>
            <w:tcW w:w="3211" w:type="dxa"/>
            <w:vAlign w:val="center"/>
          </w:tcPr>
          <w:p w14:paraId="7533111A">
            <w:pPr>
              <w:jc w:val="center"/>
              <w:rPr>
                <w:rFonts w:hint="eastAsia" w:ascii="方正仿宋_GBK" w:hAnsi="方正仿宋_GBK" w:eastAsia="方正仿宋_GBK" w:cs="方正仿宋_GBK"/>
                <w:snapToGrid w:val="0"/>
                <w:color w:val="auto"/>
                <w:kern w:val="2"/>
                <w:sz w:val="24"/>
                <w:szCs w:val="24"/>
                <w:lang w:val="en-US" w:eastAsia="en-US" w:bidi="ar-SA"/>
              </w:rPr>
            </w:pPr>
            <w:r>
              <w:rPr>
                <w:rFonts w:ascii="方正仿宋_GBK" w:hAnsi="方正仿宋_GBK" w:eastAsia="方正仿宋_GBK" w:cs="方正仿宋_GBK"/>
                <w:snapToGrid w:val="0"/>
                <w:sz w:val="24"/>
                <w:lang w:eastAsia="en-US"/>
              </w:rPr>
              <w:t>NB/SH/T 0711-2019</w:t>
            </w:r>
          </w:p>
        </w:tc>
      </w:tr>
      <w:tr w14:paraId="5785B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04D41064">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13</w:t>
            </w:r>
          </w:p>
        </w:tc>
        <w:tc>
          <w:tcPr>
            <w:tcW w:w="3407" w:type="dxa"/>
            <w:vAlign w:val="center"/>
          </w:tcPr>
          <w:p w14:paraId="1B696A07">
            <w:pPr>
              <w:jc w:val="center"/>
              <w:rPr>
                <w:rFonts w:hint="eastAsia" w:ascii="方正仿宋_GBK" w:hAnsi="方正仿宋_GBK" w:eastAsia="方正仿宋_GBK" w:cs="方正仿宋_GBK"/>
                <w:snapToGrid w:val="0"/>
                <w:color w:val="auto"/>
                <w:kern w:val="2"/>
                <w:sz w:val="24"/>
                <w:szCs w:val="24"/>
                <w:lang w:val="en-US" w:eastAsia="en-US" w:bidi="ar-SA"/>
              </w:rPr>
            </w:pPr>
            <w:r>
              <w:rPr>
                <w:rFonts w:hint="eastAsia" w:ascii="方正仿宋_GBK" w:hAnsi="方正仿宋_GBK" w:eastAsia="方正仿宋_GBK" w:cs="方正仿宋_GBK"/>
                <w:snapToGrid w:val="0"/>
                <w:sz w:val="24"/>
                <w:lang w:eastAsia="en-US"/>
              </w:rPr>
              <w:t>铁含量</w:t>
            </w:r>
          </w:p>
        </w:tc>
        <w:tc>
          <w:tcPr>
            <w:tcW w:w="3211" w:type="dxa"/>
            <w:vAlign w:val="center"/>
          </w:tcPr>
          <w:p w14:paraId="3AFBA85B">
            <w:pPr>
              <w:jc w:val="center"/>
              <w:rPr>
                <w:rFonts w:hint="eastAsia" w:ascii="方正仿宋_GBK" w:hAnsi="方正仿宋_GBK" w:eastAsia="方正仿宋_GBK" w:cs="方正仿宋_GBK"/>
                <w:snapToGrid w:val="0"/>
                <w:color w:val="auto"/>
                <w:kern w:val="2"/>
                <w:sz w:val="24"/>
                <w:szCs w:val="24"/>
                <w:lang w:val="en-US" w:eastAsia="en-US" w:bidi="ar-SA"/>
              </w:rPr>
            </w:pPr>
            <w:r>
              <w:rPr>
                <w:rFonts w:ascii="方正仿宋_GBK" w:hAnsi="方正仿宋_GBK" w:eastAsia="方正仿宋_GBK" w:cs="方正仿宋_GBK"/>
                <w:snapToGrid w:val="0"/>
                <w:sz w:val="24"/>
                <w:lang w:eastAsia="en-US"/>
              </w:rPr>
              <w:t>SH/T 0712-2002</w:t>
            </w:r>
          </w:p>
        </w:tc>
      </w:tr>
      <w:tr w14:paraId="611E0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347" w:type="dxa"/>
            <w:vAlign w:val="center"/>
          </w:tcPr>
          <w:p w14:paraId="77EF6040">
            <w:pPr>
              <w:jc w:val="center"/>
              <w:rPr>
                <w:rFonts w:hint="eastAsia" w:ascii="方正仿宋_GBK" w:hAnsi="方正仿宋_GBK" w:eastAsia="方正仿宋_GBK" w:cs="方正仿宋_GBK"/>
                <w:snapToGrid w:val="0"/>
                <w:sz w:val="24"/>
                <w:lang w:val="en-US" w:eastAsia="zh-CN"/>
              </w:rPr>
            </w:pPr>
            <w:r>
              <w:rPr>
                <w:rFonts w:hint="eastAsia" w:ascii="方正仿宋_GBK" w:hAnsi="方正仿宋_GBK" w:eastAsia="方正仿宋_GBK" w:cs="方正仿宋_GBK"/>
                <w:snapToGrid w:val="0"/>
                <w:sz w:val="24"/>
                <w:lang w:val="en-US" w:eastAsia="zh-CN"/>
              </w:rPr>
              <w:t>14</w:t>
            </w:r>
          </w:p>
        </w:tc>
        <w:tc>
          <w:tcPr>
            <w:tcW w:w="3407" w:type="dxa"/>
            <w:vAlign w:val="center"/>
          </w:tcPr>
          <w:p w14:paraId="2D67FD31">
            <w:pPr>
              <w:jc w:val="center"/>
              <w:rPr>
                <w:rFonts w:hint="eastAsia" w:ascii="方正仿宋_GBK" w:hAnsi="方正仿宋_GBK" w:eastAsia="方正仿宋_GBK" w:cs="方正仿宋_GBK"/>
                <w:snapToGrid w:val="0"/>
                <w:color w:val="auto"/>
                <w:kern w:val="2"/>
                <w:sz w:val="24"/>
                <w:szCs w:val="24"/>
                <w:lang w:val="en-US" w:eastAsia="en-US" w:bidi="ar-SA"/>
              </w:rPr>
            </w:pPr>
            <w:r>
              <w:rPr>
                <w:rFonts w:hint="eastAsia" w:ascii="方正仿宋_GBK" w:hAnsi="方正仿宋_GBK" w:eastAsia="方正仿宋_GBK" w:cs="方正仿宋_GBK"/>
                <w:snapToGrid w:val="0"/>
                <w:sz w:val="24"/>
                <w:lang w:eastAsia="en-US"/>
              </w:rPr>
              <w:t>密度</w:t>
            </w:r>
          </w:p>
        </w:tc>
        <w:tc>
          <w:tcPr>
            <w:tcW w:w="3211" w:type="dxa"/>
            <w:vAlign w:val="center"/>
          </w:tcPr>
          <w:p w14:paraId="211628D8">
            <w:pPr>
              <w:jc w:val="center"/>
              <w:rPr>
                <w:rFonts w:hint="eastAsia" w:ascii="方正仿宋_GBK" w:hAnsi="方正仿宋_GBK" w:eastAsia="方正仿宋_GBK" w:cs="方正仿宋_GBK"/>
                <w:snapToGrid w:val="0"/>
                <w:color w:val="auto"/>
                <w:kern w:val="2"/>
                <w:sz w:val="24"/>
                <w:szCs w:val="24"/>
                <w:lang w:val="en-US" w:eastAsia="en-US" w:bidi="ar-SA"/>
              </w:rPr>
            </w:pPr>
            <w:r>
              <w:rPr>
                <w:rFonts w:ascii="方正仿宋_GBK" w:hAnsi="方正仿宋_GBK" w:eastAsia="方正仿宋_GBK" w:cs="方正仿宋_GBK"/>
                <w:snapToGrid w:val="0"/>
                <w:sz w:val="24"/>
                <w:lang w:eastAsia="en-US"/>
              </w:rPr>
              <w:t>SH/T 0604-2000</w:t>
            </w:r>
          </w:p>
        </w:tc>
      </w:tr>
    </w:tbl>
    <w:p w14:paraId="12C5115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检验方法包括相关产品标准及试验方法标准。</w:t>
      </w:r>
    </w:p>
    <w:p w14:paraId="3A8679D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执行企业标准、团体标准、地方标准的产品，检验项目参照上述内容执行。</w:t>
      </w:r>
    </w:p>
    <w:p w14:paraId="5173E8B0">
      <w:pPr>
        <w:pStyle w:val="64"/>
      </w:pPr>
      <w:r>
        <w:rPr>
          <w:rFonts w:hint="eastAsia" w:ascii="方正仿宋_GBK" w:hAnsi="方正仿宋_GBK" w:eastAsia="方正仿宋_GBK" w:cs="方正仿宋_GBK"/>
          <w:sz w:val="28"/>
          <w:szCs w:val="28"/>
        </w:rPr>
        <w:t>凡是注日期的文件，其随后所有的修改单（不包括勘误的内容）或修订版不适用于本细则。凡是不注日期的文件，其最新版本适用于本细则。</w:t>
      </w:r>
    </w:p>
    <w:p w14:paraId="29B3561E">
      <w:pPr>
        <w:spacing w:line="600" w:lineRule="exact"/>
        <w:ind w:firstLine="560" w:firstLineChars="200"/>
        <w:rPr>
          <w:rFonts w:hint="eastAsia" w:ascii="Times New Roman" w:hAnsi="Times New Roman" w:eastAsia="黑体" w:cs="Times New Roman"/>
          <w:bCs/>
          <w:color w:val="000000"/>
          <w:sz w:val="28"/>
          <w:szCs w:val="28"/>
        </w:rPr>
      </w:pPr>
      <w:r>
        <w:rPr>
          <w:rFonts w:hint="eastAsia" w:ascii="Times New Roman" w:hAnsi="Times New Roman" w:eastAsia="黑体" w:cs="Times New Roman"/>
          <w:bCs/>
          <w:color w:val="000000"/>
          <w:sz w:val="28"/>
          <w:szCs w:val="28"/>
        </w:rPr>
        <w:t>4.判定规则</w:t>
      </w:r>
    </w:p>
    <w:p w14:paraId="5FFB7BD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Times New Roman" w:hAnsi="Times New Roman" w:eastAsia="方正仿宋_GBK" w:cs="Times New Roman"/>
          <w:b/>
          <w:bCs/>
          <w:sz w:val="28"/>
          <w:szCs w:val="28"/>
          <w:lang w:val="en-US" w:eastAsia="zh-CN"/>
        </w:rPr>
      </w:pPr>
      <w:r>
        <w:rPr>
          <w:rFonts w:hint="eastAsia" w:ascii="Times New Roman" w:hAnsi="Times New Roman" w:eastAsia="方正仿宋_GBK" w:cs="Times New Roman"/>
          <w:b/>
          <w:bCs/>
          <w:sz w:val="28"/>
          <w:szCs w:val="28"/>
          <w:lang w:val="en-US" w:eastAsia="zh-CN"/>
        </w:rPr>
        <w:t>4.1依据标准</w:t>
      </w:r>
    </w:p>
    <w:p w14:paraId="4DCAB0C2">
      <w:pPr>
        <w:spacing w:line="560" w:lineRule="exact"/>
        <w:ind w:firstLine="560" w:firstLineChars="200"/>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GB 17930-2016 《车用汽油》</w:t>
      </w:r>
    </w:p>
    <w:p w14:paraId="3D9D5C80">
      <w:pPr>
        <w:spacing w:line="560" w:lineRule="exact"/>
        <w:ind w:firstLine="560" w:firstLineChars="200"/>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现行有效的企业标准、团体标准、地方标准及产品明示质量要求</w:t>
      </w:r>
    </w:p>
    <w:p w14:paraId="58F2649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Times New Roman" w:hAnsi="Times New Roman" w:eastAsia="方正仿宋_GBK" w:cs="Times New Roman"/>
          <w:b/>
          <w:bCs/>
          <w:sz w:val="28"/>
          <w:szCs w:val="28"/>
          <w:lang w:val="en-US" w:eastAsia="zh-CN"/>
        </w:rPr>
      </w:pPr>
      <w:r>
        <w:rPr>
          <w:rFonts w:hint="eastAsia" w:ascii="Times New Roman" w:hAnsi="Times New Roman" w:eastAsia="方正仿宋_GBK" w:cs="Times New Roman"/>
          <w:b/>
          <w:bCs/>
          <w:sz w:val="28"/>
          <w:szCs w:val="28"/>
          <w:lang w:val="en-US" w:eastAsia="zh-CN"/>
        </w:rPr>
        <w:t>4.2判定原则</w:t>
      </w:r>
    </w:p>
    <w:p w14:paraId="14AF996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06FC05F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081D0C5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3CFBB71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04FEDB4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190F742E">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sectPr>
      <w:footerReference r:id="rId3" w:type="default"/>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39BFE2-A637-4B6F-80CC-B8322F7972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82238E6-979D-47A5-A266-1F7F9166DC8D}"/>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script"/>
    <w:pitch w:val="default"/>
    <w:sig w:usb0="00000001" w:usb1="080E0000" w:usb2="00000000" w:usb3="00000000" w:csb0="00040000" w:csb1="00000000"/>
    <w:embedRegular r:id="rId3" w:fontKey="{B80BDDF0-F4FF-47D4-9325-33FE6F7A0B04}"/>
  </w:font>
  <w:font w:name="楷体_GB2312">
    <w:panose1 w:val="0201060903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auto"/>
    <w:pitch w:val="default"/>
    <w:sig w:usb0="00000000" w:usb1="00000000" w:usb2="00000000" w:usb3="00000000" w:csb0="00000000"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黑体_GBK">
    <w:panose1 w:val="03000509000000000000"/>
    <w:charset w:val="86"/>
    <w:family w:val="script"/>
    <w:pitch w:val="default"/>
    <w:sig w:usb0="00000001" w:usb1="080E0000" w:usb2="00000000" w:usb3="00000000" w:csb0="00040000" w:csb1="00000000"/>
    <w:embedRegular r:id="rId4" w:fontKey="{955DD702-30A5-4C91-88D9-3F1E11D951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78AB2">
    <w:pPr>
      <w:pStyle w:val="3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195B59">
                          <w:pPr>
                            <w:pStyle w:val="3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4195B59">
                    <w:pPr>
                      <w:pStyle w:val="32"/>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319"/>
    <w:rsid w:val="00005FE4"/>
    <w:rsid w:val="0001130B"/>
    <w:rsid w:val="0002244E"/>
    <w:rsid w:val="00025B87"/>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D5F10"/>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A7F34"/>
    <w:rsid w:val="002B264A"/>
    <w:rsid w:val="002B6690"/>
    <w:rsid w:val="002C194B"/>
    <w:rsid w:val="002C1983"/>
    <w:rsid w:val="002C78D5"/>
    <w:rsid w:val="002D0014"/>
    <w:rsid w:val="002D171E"/>
    <w:rsid w:val="002D1E2B"/>
    <w:rsid w:val="002D4B27"/>
    <w:rsid w:val="002F04DA"/>
    <w:rsid w:val="0031024B"/>
    <w:rsid w:val="0031094B"/>
    <w:rsid w:val="00323B78"/>
    <w:rsid w:val="00324320"/>
    <w:rsid w:val="00330047"/>
    <w:rsid w:val="003308C1"/>
    <w:rsid w:val="00333147"/>
    <w:rsid w:val="00334FF1"/>
    <w:rsid w:val="00335B99"/>
    <w:rsid w:val="0034184E"/>
    <w:rsid w:val="00341E80"/>
    <w:rsid w:val="00346466"/>
    <w:rsid w:val="0034700B"/>
    <w:rsid w:val="0035079C"/>
    <w:rsid w:val="003575C3"/>
    <w:rsid w:val="003656B5"/>
    <w:rsid w:val="00374D54"/>
    <w:rsid w:val="00382C12"/>
    <w:rsid w:val="00384FD0"/>
    <w:rsid w:val="003862EE"/>
    <w:rsid w:val="00391F14"/>
    <w:rsid w:val="003936D8"/>
    <w:rsid w:val="003A2DF8"/>
    <w:rsid w:val="003A351C"/>
    <w:rsid w:val="003C1F18"/>
    <w:rsid w:val="003D28D3"/>
    <w:rsid w:val="003F3213"/>
    <w:rsid w:val="003F7F67"/>
    <w:rsid w:val="004119C8"/>
    <w:rsid w:val="00434879"/>
    <w:rsid w:val="00436027"/>
    <w:rsid w:val="00446525"/>
    <w:rsid w:val="0045292F"/>
    <w:rsid w:val="00452A6F"/>
    <w:rsid w:val="004550E4"/>
    <w:rsid w:val="004574F0"/>
    <w:rsid w:val="00457CB9"/>
    <w:rsid w:val="00460692"/>
    <w:rsid w:val="004638DB"/>
    <w:rsid w:val="00463E18"/>
    <w:rsid w:val="00466033"/>
    <w:rsid w:val="0047225C"/>
    <w:rsid w:val="00482674"/>
    <w:rsid w:val="00486BD9"/>
    <w:rsid w:val="00486F04"/>
    <w:rsid w:val="004907A3"/>
    <w:rsid w:val="004944FB"/>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8514F"/>
    <w:rsid w:val="00592F1E"/>
    <w:rsid w:val="005953F6"/>
    <w:rsid w:val="005A3B63"/>
    <w:rsid w:val="005B4050"/>
    <w:rsid w:val="005C0BFD"/>
    <w:rsid w:val="005E06BA"/>
    <w:rsid w:val="005E1ABC"/>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761E1"/>
    <w:rsid w:val="007812FC"/>
    <w:rsid w:val="00781A96"/>
    <w:rsid w:val="00781F5E"/>
    <w:rsid w:val="007916D5"/>
    <w:rsid w:val="00791FF2"/>
    <w:rsid w:val="007A2F04"/>
    <w:rsid w:val="007A3D31"/>
    <w:rsid w:val="007B5197"/>
    <w:rsid w:val="007C2D64"/>
    <w:rsid w:val="007C71F9"/>
    <w:rsid w:val="007D0F61"/>
    <w:rsid w:val="007D59FD"/>
    <w:rsid w:val="007D6664"/>
    <w:rsid w:val="007E30C2"/>
    <w:rsid w:val="007E6C39"/>
    <w:rsid w:val="007F4E96"/>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1775"/>
    <w:rsid w:val="0092237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864FC"/>
    <w:rsid w:val="00991FBD"/>
    <w:rsid w:val="009945AB"/>
    <w:rsid w:val="00996C6C"/>
    <w:rsid w:val="009A2F41"/>
    <w:rsid w:val="009A4B42"/>
    <w:rsid w:val="009A51EE"/>
    <w:rsid w:val="009B04D3"/>
    <w:rsid w:val="009B18FD"/>
    <w:rsid w:val="009B281B"/>
    <w:rsid w:val="009B30EB"/>
    <w:rsid w:val="009C07C0"/>
    <w:rsid w:val="009D04F0"/>
    <w:rsid w:val="009D1F66"/>
    <w:rsid w:val="009D4C29"/>
    <w:rsid w:val="009E13EF"/>
    <w:rsid w:val="009F570E"/>
    <w:rsid w:val="00A00C69"/>
    <w:rsid w:val="00A065FA"/>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0637A"/>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083"/>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E7391"/>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E3842"/>
    <w:rsid w:val="00EF2FE0"/>
    <w:rsid w:val="00EF5F33"/>
    <w:rsid w:val="00F10DCD"/>
    <w:rsid w:val="00F14F1F"/>
    <w:rsid w:val="00F16DF8"/>
    <w:rsid w:val="00F20A60"/>
    <w:rsid w:val="00F21761"/>
    <w:rsid w:val="00F24352"/>
    <w:rsid w:val="00F269EA"/>
    <w:rsid w:val="00F321E4"/>
    <w:rsid w:val="00F41B94"/>
    <w:rsid w:val="00F46C46"/>
    <w:rsid w:val="00F55EF6"/>
    <w:rsid w:val="00F67A5B"/>
    <w:rsid w:val="00F706AB"/>
    <w:rsid w:val="00F71EF0"/>
    <w:rsid w:val="00F8525C"/>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86D0EB9"/>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CFC67FE"/>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377DF9"/>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54780F"/>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B00337"/>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2">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3">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字符"/>
    <w:basedOn w:val="50"/>
    <w:link w:val="3"/>
    <w:qFormat/>
    <w:uiPriority w:val="0"/>
    <w:rPr>
      <w:rFonts w:ascii="Courier New" w:hAnsi="Courier New"/>
      <w:lang w:val="en-US" w:eastAsia="zh-CN" w:bidi="ar-SA"/>
    </w:rPr>
  </w:style>
  <w:style w:type="character" w:customStyle="1" w:styleId="66">
    <w:name w:val="标题 1 字符1"/>
    <w:basedOn w:val="50"/>
    <w:link w:val="4"/>
    <w:qFormat/>
    <w:locked/>
    <w:uiPriority w:val="99"/>
    <w:rPr>
      <w:rFonts w:ascii="宋体" w:hAnsi="宋体" w:eastAsia="宋体" w:cs="宋体"/>
      <w:b/>
      <w:bCs/>
      <w:kern w:val="36"/>
      <w:sz w:val="48"/>
      <w:szCs w:val="48"/>
      <w:lang w:val="en-US" w:eastAsia="zh-CN" w:bidi="ar-SA"/>
    </w:rPr>
  </w:style>
  <w:style w:type="character" w:customStyle="1" w:styleId="67">
    <w:name w:val="标题 2 字符"/>
    <w:basedOn w:val="50"/>
    <w:link w:val="5"/>
    <w:qFormat/>
    <w:uiPriority w:val="99"/>
    <w:rPr>
      <w:rFonts w:ascii="Cambria" w:hAnsi="Cambria" w:eastAsia="宋体"/>
      <w:b/>
      <w:bCs/>
      <w:kern w:val="2"/>
      <w:sz w:val="32"/>
      <w:szCs w:val="32"/>
      <w:lang w:val="en-US" w:eastAsia="zh-CN" w:bidi="ar-SA"/>
    </w:rPr>
  </w:style>
  <w:style w:type="character" w:customStyle="1" w:styleId="68">
    <w:name w:val="标题 3 字符"/>
    <w:basedOn w:val="50"/>
    <w:link w:val="6"/>
    <w:qFormat/>
    <w:uiPriority w:val="99"/>
    <w:rPr>
      <w:rFonts w:eastAsia="宋体"/>
      <w:b/>
      <w:bCs/>
      <w:kern w:val="2"/>
      <w:sz w:val="30"/>
      <w:szCs w:val="32"/>
      <w:lang w:val="en-US" w:eastAsia="zh-CN" w:bidi="ar-SA"/>
    </w:rPr>
  </w:style>
  <w:style w:type="character" w:customStyle="1" w:styleId="69">
    <w:name w:val="标题 4 字符"/>
    <w:basedOn w:val="50"/>
    <w:link w:val="2"/>
    <w:qFormat/>
    <w:uiPriority w:val="99"/>
    <w:rPr>
      <w:rFonts w:ascii="Cambria" w:hAnsi="Cambria" w:eastAsia="宋体"/>
      <w:b/>
      <w:bCs/>
      <w:kern w:val="2"/>
      <w:sz w:val="28"/>
      <w:szCs w:val="28"/>
      <w:lang w:val="en-US" w:eastAsia="zh-CN" w:bidi="ar-SA"/>
    </w:rPr>
  </w:style>
  <w:style w:type="character" w:customStyle="1" w:styleId="70">
    <w:name w:val="标题 5 字符"/>
    <w:basedOn w:val="50"/>
    <w:link w:val="7"/>
    <w:qFormat/>
    <w:uiPriority w:val="99"/>
    <w:rPr>
      <w:rFonts w:eastAsia="宋体"/>
      <w:b/>
      <w:bCs/>
      <w:kern w:val="2"/>
      <w:sz w:val="28"/>
      <w:szCs w:val="28"/>
      <w:lang w:val="en-US" w:eastAsia="zh-CN" w:bidi="ar-SA"/>
    </w:rPr>
  </w:style>
  <w:style w:type="character" w:customStyle="1" w:styleId="71">
    <w:name w:val="标题 6 字符"/>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字符"/>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字符"/>
    <w:basedOn w:val="50"/>
    <w:link w:val="10"/>
    <w:qFormat/>
    <w:uiPriority w:val="99"/>
    <w:rPr>
      <w:rFonts w:ascii="Cambria" w:hAnsi="Cambria" w:eastAsia="宋体" w:cs="Cambria"/>
      <w:kern w:val="2"/>
      <w:sz w:val="24"/>
      <w:szCs w:val="24"/>
      <w:lang w:val="en-US" w:eastAsia="zh-CN" w:bidi="ar-SA"/>
    </w:rPr>
  </w:style>
  <w:style w:type="character" w:customStyle="1" w:styleId="74">
    <w:name w:val="标题 9 字符"/>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字符1"/>
    <w:basedOn w:val="50"/>
    <w:link w:val="14"/>
    <w:qFormat/>
    <w:uiPriority w:val="99"/>
    <w:rPr>
      <w:rFonts w:eastAsia="宋体"/>
      <w:kern w:val="2"/>
      <w:sz w:val="21"/>
      <w:szCs w:val="24"/>
      <w:lang w:val="zh-CN" w:eastAsia="zh-CN" w:bidi="ar-SA"/>
    </w:rPr>
  </w:style>
  <w:style w:type="character" w:customStyle="1" w:styleId="76">
    <w:name w:val="正文缩进 字符"/>
    <w:link w:val="15"/>
    <w:qFormat/>
    <w:locked/>
    <w:uiPriority w:val="0"/>
    <w:rPr>
      <w:rFonts w:eastAsia="宋体"/>
      <w:b/>
      <w:bCs/>
      <w:kern w:val="2"/>
      <w:sz w:val="24"/>
      <w:szCs w:val="24"/>
      <w:lang w:bidi="ar-SA"/>
    </w:rPr>
  </w:style>
  <w:style w:type="character" w:customStyle="1" w:styleId="77">
    <w:name w:val="文档结构图 字符"/>
    <w:basedOn w:val="50"/>
    <w:link w:val="17"/>
    <w:qFormat/>
    <w:uiPriority w:val="99"/>
    <w:rPr>
      <w:rFonts w:ascii="宋体" w:eastAsia="宋体"/>
      <w:kern w:val="2"/>
      <w:sz w:val="18"/>
      <w:szCs w:val="18"/>
      <w:lang w:val="en-US" w:eastAsia="zh-CN" w:bidi="ar-SA"/>
    </w:rPr>
  </w:style>
  <w:style w:type="character" w:customStyle="1" w:styleId="78">
    <w:name w:val="批注文字 字符"/>
    <w:basedOn w:val="50"/>
    <w:link w:val="18"/>
    <w:qFormat/>
    <w:uiPriority w:val="99"/>
    <w:rPr>
      <w:kern w:val="2"/>
      <w:sz w:val="21"/>
      <w:szCs w:val="24"/>
    </w:rPr>
  </w:style>
  <w:style w:type="character" w:customStyle="1" w:styleId="79">
    <w:name w:val="正文文本 3 字符"/>
    <w:basedOn w:val="50"/>
    <w:link w:val="19"/>
    <w:qFormat/>
    <w:uiPriority w:val="0"/>
    <w:rPr>
      <w:rFonts w:ascii="宋体" w:hAnsi="Times New Roman" w:cs="宋体"/>
      <w:kern w:val="2"/>
      <w:sz w:val="24"/>
      <w:szCs w:val="24"/>
    </w:rPr>
  </w:style>
  <w:style w:type="character" w:customStyle="1" w:styleId="80">
    <w:name w:val="正文文本 字符"/>
    <w:basedOn w:val="50"/>
    <w:link w:val="20"/>
    <w:qFormat/>
    <w:uiPriority w:val="99"/>
    <w:rPr>
      <w:rFonts w:ascii="仿宋_GB2312" w:eastAsia="仿宋_GB2312"/>
      <w:sz w:val="28"/>
      <w:lang w:val="en-US" w:eastAsia="zh-CN" w:bidi="ar-SA"/>
    </w:rPr>
  </w:style>
  <w:style w:type="character" w:customStyle="1" w:styleId="81">
    <w:name w:val="正文文本缩进 字符"/>
    <w:basedOn w:val="50"/>
    <w:link w:val="21"/>
    <w:qFormat/>
    <w:uiPriority w:val="99"/>
    <w:rPr>
      <w:rFonts w:eastAsia="宋体"/>
      <w:kern w:val="2"/>
      <w:sz w:val="21"/>
      <w:szCs w:val="21"/>
      <w:lang w:val="en-US" w:eastAsia="zh-CN" w:bidi="ar-SA"/>
    </w:rPr>
  </w:style>
  <w:style w:type="character" w:customStyle="1" w:styleId="82">
    <w:name w:val="纯文本 字符1"/>
    <w:link w:val="26"/>
    <w:qFormat/>
    <w:uiPriority w:val="0"/>
    <w:rPr>
      <w:rFonts w:ascii="宋体" w:hAnsi="Courier New"/>
      <w:kern w:val="2"/>
      <w:sz w:val="21"/>
      <w:szCs w:val="21"/>
      <w:lang w:bidi="ar-SA"/>
    </w:rPr>
  </w:style>
  <w:style w:type="character" w:customStyle="1" w:styleId="83">
    <w:name w:val="日期 字符"/>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字符"/>
    <w:basedOn w:val="50"/>
    <w:link w:val="29"/>
    <w:qFormat/>
    <w:uiPriority w:val="99"/>
    <w:rPr>
      <w:rFonts w:ascii="宋体" w:hAnsi="Times New Roman" w:cs="宋体"/>
    </w:rPr>
  </w:style>
  <w:style w:type="character" w:customStyle="1" w:styleId="85">
    <w:name w:val="尾注文本 字符"/>
    <w:basedOn w:val="50"/>
    <w:link w:val="30"/>
    <w:qFormat/>
    <w:uiPriority w:val="99"/>
    <w:rPr>
      <w:rFonts w:ascii="Times New Roman" w:hAnsi="Times New Roman"/>
      <w:kern w:val="2"/>
      <w:sz w:val="21"/>
      <w:szCs w:val="21"/>
    </w:rPr>
  </w:style>
  <w:style w:type="character" w:customStyle="1" w:styleId="86">
    <w:name w:val="批注框文本 字符"/>
    <w:link w:val="31"/>
    <w:qFormat/>
    <w:uiPriority w:val="99"/>
    <w:rPr>
      <w:kern w:val="2"/>
      <w:sz w:val="18"/>
      <w:szCs w:val="18"/>
    </w:rPr>
  </w:style>
  <w:style w:type="character" w:customStyle="1" w:styleId="87">
    <w:name w:val="页脚 字符2"/>
    <w:basedOn w:val="50"/>
    <w:link w:val="32"/>
    <w:qFormat/>
    <w:locked/>
    <w:uiPriority w:val="99"/>
    <w:rPr>
      <w:rFonts w:ascii="Calibri" w:hAnsi="Calibri" w:eastAsia="宋体"/>
      <w:kern w:val="2"/>
      <w:sz w:val="18"/>
      <w:szCs w:val="18"/>
      <w:lang w:val="en-US" w:eastAsia="zh-CN" w:bidi="ar-SA"/>
    </w:rPr>
  </w:style>
  <w:style w:type="character" w:customStyle="1" w:styleId="88">
    <w:name w:val="页眉 字符1"/>
    <w:basedOn w:val="50"/>
    <w:link w:val="34"/>
    <w:qFormat/>
    <w:locked/>
    <w:uiPriority w:val="99"/>
    <w:rPr>
      <w:rFonts w:ascii="Calibri" w:hAnsi="Calibri" w:eastAsia="宋体"/>
      <w:kern w:val="2"/>
      <w:sz w:val="18"/>
      <w:szCs w:val="18"/>
      <w:lang w:val="en-US" w:eastAsia="zh-CN" w:bidi="ar-SA"/>
    </w:rPr>
  </w:style>
  <w:style w:type="character" w:customStyle="1" w:styleId="89">
    <w:name w:val="副标题 字符"/>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字符1"/>
    <w:link w:val="39"/>
    <w:qFormat/>
    <w:uiPriority w:val="99"/>
    <w:rPr>
      <w:rFonts w:ascii="仿宋_GB2312" w:eastAsia="仿宋_GB2312"/>
      <w:sz w:val="32"/>
      <w:lang w:bidi="ar-SA"/>
    </w:rPr>
  </w:style>
  <w:style w:type="character" w:customStyle="1" w:styleId="91">
    <w:name w:val="HTML 预设格式 字符"/>
    <w:basedOn w:val="50"/>
    <w:link w:val="42"/>
    <w:qFormat/>
    <w:uiPriority w:val="99"/>
    <w:rPr>
      <w:rFonts w:ascii="宋体" w:hAnsi="宋体" w:cs="宋体"/>
      <w:sz w:val="24"/>
      <w:szCs w:val="24"/>
    </w:rPr>
  </w:style>
  <w:style w:type="character" w:customStyle="1" w:styleId="92">
    <w:name w:val="普通(网站) 字符"/>
    <w:link w:val="43"/>
    <w:qFormat/>
    <w:uiPriority w:val="0"/>
    <w:rPr>
      <w:rFonts w:ascii="Calibri" w:hAnsi="Calibri" w:eastAsia="宋体"/>
      <w:sz w:val="24"/>
      <w:szCs w:val="24"/>
      <w:lang w:val="en-US" w:eastAsia="zh-CN" w:bidi="ar-SA"/>
    </w:rPr>
  </w:style>
  <w:style w:type="character" w:customStyle="1" w:styleId="93">
    <w:name w:val="标题 字符"/>
    <w:basedOn w:val="50"/>
    <w:link w:val="45"/>
    <w:qFormat/>
    <w:uiPriority w:val="0"/>
    <w:rPr>
      <w:rFonts w:ascii="Cambria" w:hAnsi="Cambria" w:eastAsia="宋体"/>
      <w:b/>
      <w:bCs/>
      <w:kern w:val="2"/>
      <w:sz w:val="32"/>
      <w:szCs w:val="32"/>
      <w:lang w:val="en-US" w:eastAsia="zh-CN" w:bidi="ar-SA"/>
    </w:rPr>
  </w:style>
  <w:style w:type="character" w:customStyle="1" w:styleId="94">
    <w:name w:val="批注主题 字符"/>
    <w:basedOn w:val="78"/>
    <w:link w:val="46"/>
    <w:qFormat/>
    <w:uiPriority w:val="99"/>
    <w:rPr>
      <w:rFonts w:ascii="Times New Roman" w:hAnsi="Times New Roman"/>
      <w:b/>
      <w:bCs/>
      <w:kern w:val="2"/>
      <w:sz w:val="24"/>
      <w:szCs w:val="24"/>
    </w:rPr>
  </w:style>
  <w:style w:type="character" w:customStyle="1" w:styleId="95">
    <w:name w:val="正文文本首行缩进 2 字符"/>
    <w:basedOn w:val="81"/>
    <w:link w:val="47"/>
    <w:qFormat/>
    <w:uiPriority w:val="99"/>
    <w:rPr>
      <w:rFonts w:eastAsia="宋体"/>
      <w:kern w:val="2"/>
      <w:sz w:val="21"/>
      <w:szCs w:val="21"/>
      <w:lang w:val="en-US" w:eastAsia="zh-CN" w:bidi="ar-SA"/>
    </w:rPr>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cs="宋体"/>
      <w:lang w:val="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val="en-US" w:eastAsia="zh-CN"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Pr>
      <w:outlineLvl w:val="4"/>
    </w:pPr>
  </w:style>
  <w:style w:type="paragraph" w:customStyle="1" w:styleId="107">
    <w:name w:val="二级条标题"/>
    <w:basedOn w:val="104"/>
    <w:next w:val="1"/>
    <w:link w:val="108"/>
    <w:qFormat/>
    <w:uiPriority w:val="99"/>
    <w:pPr>
      <w:numPr>
        <w:ilvl w:val="2"/>
      </w:numPr>
      <w:outlineLvl w:val="3"/>
    </w:pPr>
  </w:style>
  <w:style w:type="character" w:customStyle="1" w:styleId="108">
    <w:name w:val="二级条标题 Char"/>
    <w:basedOn w:val="105"/>
    <w:link w:val="107"/>
    <w:qFormat/>
    <w:uiPriority w:val="99"/>
    <w:rPr>
      <w:rFonts w:ascii="黑体" w:hAnsi="黑体" w:eastAsia="黑体"/>
      <w:sz w:val="21"/>
      <w:szCs w:val="21"/>
      <w:lang w:bidi="ar-SA"/>
    </w:rPr>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Char11"/>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字符"/>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eastAsia="宋体" w:cs="Calibri"/>
      <w:sz w:val="24"/>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Pr>
      <w:ind w:left="1080" w:hanging="1080"/>
      <w:outlineLvl w:val="6"/>
    </w:pPr>
  </w:style>
  <w:style w:type="paragraph" w:customStyle="1" w:styleId="252">
    <w:name w:val="正文表标题"/>
    <w:next w:val="1"/>
    <w:qFormat/>
    <w:uiPriority w:val="0"/>
    <w:pPr>
      <w:tabs>
        <w:tab w:val="left" w:pos="720"/>
      </w:tabs>
      <w:spacing w:beforeLines="50" w:afterLines="50"/>
      <w:ind w:left="720" w:hanging="72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3"/>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4"/>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字符"/>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字符"/>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2"/>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748</Words>
  <Characters>892</Characters>
  <Lines>20</Lines>
  <Paragraphs>5</Paragraphs>
  <TotalTime>0</TotalTime>
  <ScaleCrop>false</ScaleCrop>
  <LinksUpToDate>false</LinksUpToDate>
  <CharactersWithSpaces>906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2025-06-19T01:10:00Z</dcterms:created>
  <dc:creator>cj_wong</dc:creator>
  <cp:lastModifiedBy>瑞瑞妈妈</cp:lastModifiedBy>
  <cp:lastPrinted>2022-06-23T01:03:00Z</cp:lastPrinted>
  <dcterms:modified xsi:type="dcterms:W3CDTF">2026-06-29T01:25:29Z</dcterms:modified>
  <dc:title>XXXX年第X批风险监测实施方案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SaveFontToCloudKey">
    <vt:lpwstr>440214228_cloud</vt:lpwstr>
  </property>
  <property fmtid="{D5CDD505-2E9C-101B-9397-08002B2CF9AE}" pid="4" name="ICV">
    <vt:lpwstr>B9057948114E43FF8BE5B94789F910FB_13</vt:lpwstr>
  </property>
  <property fmtid="{D5CDD505-2E9C-101B-9397-08002B2CF9AE}" pid="5" name="KSOTemplateDocerSaveRecord">
    <vt:lpwstr>eyJoZGlkIjoiMjgyMDYxYTYwNzExY2U2ZTI5OWUxMmRjMDU4ODBkOWEiLCJ1c2VySWQiOiI0MjgwODg4MTAifQ==</vt:lpwstr>
  </property>
</Properties>
</file>