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DCB765">
      <w:pPr>
        <w:snapToGrid w:val="0"/>
        <w:spacing w:line="580" w:lineRule="exact"/>
        <w:jc w:val="center"/>
        <w:rPr>
          <w:rFonts w:hint="eastAsia"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rPr>
        <w:t>昆山市针织内衣及文胸产品质量监督抽查</w:t>
      </w:r>
    </w:p>
    <w:p w14:paraId="44F48970">
      <w:pPr>
        <w:snapToGrid w:val="0"/>
        <w:spacing w:line="580" w:lineRule="exact"/>
        <w:jc w:val="center"/>
        <w:rPr>
          <w:rFonts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rPr>
        <w:t>实施细则</w:t>
      </w:r>
    </w:p>
    <w:p w14:paraId="4D7BFCA2">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黑体"/>
          <w:bCs/>
          <w:sz w:val="32"/>
          <w:szCs w:val="32"/>
        </w:rPr>
      </w:pPr>
      <w:r>
        <w:rPr>
          <w:rFonts w:ascii="Times New Roman" w:hAnsi="Times New Roman" w:eastAsia="黑体"/>
          <w:bCs/>
          <w:sz w:val="32"/>
          <w:szCs w:val="32"/>
        </w:rPr>
        <w:t>1.</w:t>
      </w:r>
      <w:r>
        <w:rPr>
          <w:rFonts w:hint="eastAsia" w:ascii="Times New Roman" w:hAnsi="Times New Roman" w:eastAsia="黑体"/>
          <w:bCs/>
          <w:sz w:val="32"/>
          <w:szCs w:val="32"/>
        </w:rPr>
        <w:t>范围</w:t>
      </w:r>
    </w:p>
    <w:p w14:paraId="2CE39986">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ascii="仿宋_GB2312" w:hAnsi="宋体" w:eastAsia="仿宋_GB2312"/>
          <w:sz w:val="30"/>
          <w:szCs w:val="32"/>
        </w:rPr>
      </w:pPr>
      <w:r>
        <w:rPr>
          <w:rFonts w:hint="eastAsia" w:ascii="方正仿宋_GBK" w:hAnsi="方正仿宋_GBK" w:eastAsia="方正仿宋_GBK" w:cs="方正仿宋_GBK"/>
          <w:sz w:val="32"/>
          <w:szCs w:val="32"/>
        </w:rPr>
        <w:t>本细则适用于</w:t>
      </w:r>
      <w:r>
        <w:rPr>
          <w:rFonts w:hint="eastAsia" w:ascii="方正仿宋_GBK" w:hAnsi="方正仿宋_GBK" w:eastAsia="方正仿宋_GBK" w:cs="方正仿宋_GBK"/>
          <w:sz w:val="32"/>
          <w:szCs w:val="32"/>
          <w:lang w:val="en-US" w:eastAsia="zh-CN"/>
        </w:rPr>
        <w:t>昆山</w:t>
      </w:r>
      <w:r>
        <w:rPr>
          <w:rFonts w:hint="eastAsia" w:ascii="方正仿宋_GBK" w:hAnsi="方正仿宋_GBK" w:eastAsia="方正仿宋_GBK" w:cs="方正仿宋_GBK"/>
          <w:sz w:val="32"/>
          <w:szCs w:val="32"/>
        </w:rPr>
        <w:t>市市场监督管理局组织的</w:t>
      </w:r>
      <w:r>
        <w:rPr>
          <w:rFonts w:hint="eastAsia" w:ascii="方正仿宋_GBK" w:hAnsi="方正仿宋_GBK" w:eastAsia="方正仿宋_GBK" w:cs="方正仿宋_GBK"/>
          <w:sz w:val="32"/>
          <w:szCs w:val="32"/>
          <w:lang w:val="en-US" w:eastAsia="zh-CN"/>
        </w:rPr>
        <w:t>针织内衣及文胸</w:t>
      </w:r>
      <w:r>
        <w:rPr>
          <w:rFonts w:hint="eastAsia" w:ascii="方正仿宋_GBK" w:hAnsi="方正仿宋_GBK" w:eastAsia="方正仿宋_GBK" w:cs="方正仿宋_GBK"/>
          <w:sz w:val="32"/>
          <w:szCs w:val="32"/>
        </w:rPr>
        <w:t>产品质量监督抽查检验。本细则规定了此产品的抽样方法、检验依据、检验项目、检验方法、判定原则、异议处理及复检。</w:t>
      </w:r>
    </w:p>
    <w:p w14:paraId="015B1526">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黑体"/>
          <w:bCs/>
          <w:sz w:val="32"/>
          <w:szCs w:val="32"/>
        </w:rPr>
      </w:pPr>
      <w:r>
        <w:rPr>
          <w:rFonts w:hint="eastAsia" w:ascii="Times New Roman" w:hAnsi="Times New Roman" w:eastAsia="黑体"/>
          <w:bCs/>
          <w:sz w:val="32"/>
          <w:szCs w:val="32"/>
        </w:rPr>
        <w:t>2.抽样方法</w:t>
      </w:r>
    </w:p>
    <w:p w14:paraId="169E0A40">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方正仿宋_GBK"/>
          <w:kern w:val="0"/>
          <w:sz w:val="32"/>
          <w:szCs w:val="32"/>
          <w:shd w:val="clear" w:color="auto" w:fill="FFFFFF"/>
          <w:lang w:bidi="ar"/>
        </w:rPr>
      </w:pPr>
      <w:r>
        <w:rPr>
          <w:rFonts w:hint="eastAsia" w:ascii="Times New Roman" w:hAnsi="Times New Roman" w:eastAsia="方正仿宋_GBK"/>
          <w:kern w:val="0"/>
          <w:sz w:val="32"/>
          <w:szCs w:val="32"/>
          <w:shd w:val="clear" w:color="auto" w:fill="FFFFFF"/>
          <w:lang w:bidi="ar"/>
        </w:rPr>
        <w:t>2.1生产企业、实体店抽样</w:t>
      </w:r>
    </w:p>
    <w:p w14:paraId="41183553">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方正仿宋_GBK"/>
          <w:kern w:val="0"/>
          <w:sz w:val="32"/>
          <w:szCs w:val="32"/>
          <w:shd w:val="clear" w:color="auto" w:fill="FFFFFF"/>
          <w:lang w:bidi="ar"/>
        </w:rPr>
      </w:pPr>
      <w:r>
        <w:rPr>
          <w:rFonts w:ascii="方正仿宋_GBK" w:hAnsi="方正仿宋_GBK" w:eastAsia="方正仿宋_GBK" w:cs="方正仿宋_GBK"/>
          <w:sz w:val="32"/>
          <w:szCs w:val="32"/>
        </w:rPr>
        <w:t>在</w:t>
      </w:r>
      <w:r>
        <w:rPr>
          <w:rFonts w:hint="eastAsia" w:ascii="方正仿宋_GBK" w:hAnsi="方正仿宋_GBK" w:eastAsia="方正仿宋_GBK" w:cs="方正仿宋_GBK"/>
          <w:sz w:val="32"/>
          <w:szCs w:val="32"/>
        </w:rPr>
        <w:t>受检</w:t>
      </w:r>
      <w:r>
        <w:rPr>
          <w:rFonts w:ascii="方正仿宋_GBK" w:hAnsi="方正仿宋_GBK" w:eastAsia="方正仿宋_GBK" w:cs="方正仿宋_GBK"/>
          <w:sz w:val="32"/>
          <w:szCs w:val="32"/>
        </w:rPr>
        <w:t>企业的成品</w:t>
      </w:r>
      <w:r>
        <w:rPr>
          <w:rFonts w:hint="eastAsia" w:ascii="方正仿宋_GBK" w:hAnsi="方正仿宋_GBK" w:eastAsia="方正仿宋_GBK" w:cs="方正仿宋_GBK"/>
          <w:sz w:val="32"/>
          <w:szCs w:val="32"/>
        </w:rPr>
        <w:t>仓库或者其确认场所，</w:t>
      </w:r>
      <w:r>
        <w:rPr>
          <w:rFonts w:ascii="方正仿宋_GBK" w:hAnsi="方正仿宋_GBK" w:eastAsia="方正仿宋_GBK" w:cs="方正仿宋_GBK"/>
          <w:sz w:val="32"/>
          <w:szCs w:val="32"/>
        </w:rPr>
        <w:t>随机抽取有产品质量检验合格证明或者其他形式表明合格的</w:t>
      </w:r>
      <w:r>
        <w:rPr>
          <w:rFonts w:hint="eastAsia" w:ascii="方正仿宋_GBK" w:hAnsi="方正仿宋_GBK" w:eastAsia="方正仿宋_GBK" w:cs="方正仿宋_GBK"/>
          <w:sz w:val="32"/>
          <w:szCs w:val="32"/>
        </w:rPr>
        <w:t>待销</w:t>
      </w:r>
      <w:r>
        <w:rPr>
          <w:rFonts w:ascii="方正仿宋_GBK" w:hAnsi="方正仿宋_GBK" w:eastAsia="方正仿宋_GBK" w:cs="方正仿宋_GBK"/>
          <w:sz w:val="32"/>
          <w:szCs w:val="32"/>
        </w:rPr>
        <w:t>产品</w:t>
      </w:r>
      <w:r>
        <w:rPr>
          <w:rFonts w:hint="eastAsia" w:ascii="方正仿宋_GBK" w:hAnsi="方正仿宋_GBK" w:eastAsia="方正仿宋_GBK" w:cs="方正仿宋_GBK"/>
          <w:sz w:val="32"/>
          <w:szCs w:val="32"/>
        </w:rPr>
        <w:t>，</w:t>
      </w:r>
      <w:r>
        <w:rPr>
          <w:rFonts w:ascii="方正仿宋_GBK" w:hAnsi="方正仿宋_GBK" w:eastAsia="方正仿宋_GBK" w:cs="方正仿宋_GBK"/>
          <w:sz w:val="32"/>
          <w:szCs w:val="32"/>
        </w:rPr>
        <w:t>抽</w:t>
      </w:r>
      <w:r>
        <w:rPr>
          <w:rFonts w:hint="eastAsia" w:ascii="方正仿宋_GBK" w:hAnsi="方正仿宋_GBK" w:eastAsia="方正仿宋_GBK" w:cs="方正仿宋_GBK"/>
          <w:sz w:val="32"/>
          <w:szCs w:val="32"/>
        </w:rPr>
        <w:t>样基数应满足抽样要求。</w:t>
      </w:r>
      <w:r>
        <w:rPr>
          <w:rFonts w:hint="eastAsia" w:ascii="Times New Roman" w:hAnsi="Times New Roman" w:eastAsia="方正仿宋_GBK"/>
          <w:kern w:val="0"/>
          <w:sz w:val="32"/>
          <w:szCs w:val="32"/>
          <w:shd w:val="clear" w:color="auto" w:fill="FFFFFF"/>
          <w:lang w:bidi="ar"/>
        </w:rPr>
        <w:t>抽样过程均需拍照留证。一经抽样，立即封样，任何人不得调换。</w:t>
      </w:r>
    </w:p>
    <w:p w14:paraId="0CDF815B">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方正仿宋_GBK"/>
          <w:kern w:val="0"/>
          <w:sz w:val="32"/>
          <w:szCs w:val="32"/>
          <w:shd w:val="clear" w:color="auto" w:fill="FFFFFF"/>
          <w:lang w:bidi="ar"/>
        </w:rPr>
      </w:pPr>
      <w:r>
        <w:rPr>
          <w:rFonts w:hint="eastAsia" w:ascii="Times New Roman" w:hAnsi="Times New Roman" w:eastAsia="方正仿宋_GBK"/>
          <w:kern w:val="0"/>
          <w:sz w:val="32"/>
          <w:szCs w:val="32"/>
          <w:shd w:val="clear" w:color="auto" w:fill="FFFFFF"/>
          <w:lang w:bidi="ar"/>
        </w:rPr>
        <w:t>2.2电商平台采样</w:t>
      </w:r>
    </w:p>
    <w:p w14:paraId="2DC26A1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05" w:beforeAutospacing="0" w:after="105" w:afterAutospacing="0" w:line="580" w:lineRule="exact"/>
        <w:ind w:right="0" w:firstLine="640" w:firstLineChars="200"/>
        <w:jc w:val="left"/>
        <w:textAlignment w:val="auto"/>
        <w:rPr>
          <w:rFonts w:hint="eastAsia" w:ascii="Times New Roman" w:hAnsi="Times New Roman" w:eastAsia="方正仿宋_GBK"/>
          <w:kern w:val="0"/>
          <w:sz w:val="32"/>
          <w:szCs w:val="32"/>
          <w:shd w:val="clear" w:color="auto" w:fill="FFFFFF"/>
          <w:lang w:bidi="ar"/>
        </w:rPr>
      </w:pPr>
      <w:r>
        <w:rPr>
          <w:rFonts w:hint="eastAsia" w:ascii="Times New Roman" w:hAnsi="Times New Roman" w:eastAsia="方正仿宋_GBK"/>
          <w:kern w:val="0"/>
          <w:sz w:val="32"/>
          <w:szCs w:val="32"/>
          <w:shd w:val="clear" w:color="auto" w:fill="FFFFFF"/>
          <w:lang w:bidi="ar"/>
        </w:rPr>
        <w:t>抽样数量为同一规格</w:t>
      </w:r>
      <w:r>
        <w:rPr>
          <w:rFonts w:hint="eastAsia" w:ascii="方正仿宋_GBK" w:hAnsi="方正仿宋_GBK" w:eastAsia="方正仿宋_GBK" w:cs="方正仿宋_GBK"/>
          <w:kern w:val="2"/>
          <w:sz w:val="32"/>
          <w:szCs w:val="32"/>
          <w:lang w:val="en-US" w:eastAsia="zh-CN" w:bidi="ar-SA"/>
        </w:rPr>
        <w:t>文胸6件（其中备样2件），针织塑身内衣和针织腹带4件（其中备样2件）。</w:t>
      </w:r>
    </w:p>
    <w:p w14:paraId="0F6E6209">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黑体"/>
          <w:bCs/>
          <w:sz w:val="32"/>
          <w:szCs w:val="32"/>
        </w:rPr>
      </w:pPr>
      <w:r>
        <w:rPr>
          <w:rFonts w:hint="eastAsia" w:ascii="Times New Roman" w:hAnsi="Times New Roman" w:eastAsia="黑体"/>
          <w:bCs/>
          <w:sz w:val="32"/>
          <w:szCs w:val="32"/>
        </w:rPr>
        <w:t>3.检验依据</w:t>
      </w:r>
    </w:p>
    <w:p w14:paraId="192F1AB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05" w:beforeAutospacing="0" w:after="105" w:afterAutospacing="0" w:line="18" w:lineRule="atLeast"/>
        <w:ind w:left="0" w:right="0" w:firstLine="0"/>
        <w:jc w:val="center"/>
        <w:textAlignment w:val="auto"/>
        <w:rPr>
          <w:rFonts w:hint="eastAsia" w:ascii="Times New Roman" w:hAnsi="Times New Roman" w:eastAsia="方正仿宋_GBK" w:cstheme="minorBidi"/>
          <w:color w:val="000000"/>
          <w:kern w:val="2"/>
          <w:sz w:val="28"/>
          <w:szCs w:val="28"/>
          <w:lang w:val="en-US" w:eastAsia="zh-CN" w:bidi="ar-SA"/>
        </w:rPr>
      </w:pPr>
      <w:r>
        <w:rPr>
          <w:rFonts w:hint="eastAsia" w:ascii="宋体" w:hAnsi="宋体" w:eastAsia="宋体" w:cs="宋体"/>
          <w:i w:val="0"/>
          <w:iCs w:val="0"/>
          <w:caps w:val="0"/>
          <w:color w:val="333333"/>
          <w:spacing w:val="0"/>
          <w:sz w:val="24"/>
          <w:szCs w:val="24"/>
          <w:shd w:val="clear" w:fill="FFFFFF"/>
        </w:rPr>
        <w:t> </w:t>
      </w:r>
      <w:r>
        <w:rPr>
          <w:rFonts w:hint="eastAsia" w:ascii="Times New Roman" w:hAnsi="Times New Roman" w:eastAsia="方正仿宋_GBK" w:cstheme="minorBidi"/>
          <w:color w:val="000000"/>
          <w:kern w:val="2"/>
          <w:sz w:val="28"/>
          <w:szCs w:val="28"/>
          <w:lang w:val="en-US" w:eastAsia="zh-CN" w:bidi="ar-SA"/>
        </w:rPr>
        <w:t> 表1针织内衣及文胸产品检验项目</w:t>
      </w:r>
    </w:p>
    <w:tbl>
      <w:tblPr>
        <w:tblStyle w:val="5"/>
        <w:tblpPr w:leftFromText="180" w:rightFromText="180" w:vertAnchor="text" w:horzAnchor="page" w:tblpX="1428" w:tblpY="299"/>
        <w:tblOverlap w:val="never"/>
        <w:tblW w:w="8930"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76"/>
        <w:gridCol w:w="3075"/>
        <w:gridCol w:w="3315"/>
        <w:gridCol w:w="1864"/>
      </w:tblGrid>
      <w:tr w14:paraId="15DE25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2" w:hRule="atLeast"/>
        </w:trPr>
        <w:tc>
          <w:tcPr>
            <w:tcW w:w="676" w:type="dxa"/>
            <w:vAlign w:val="center"/>
          </w:tcPr>
          <w:p w14:paraId="25A83C4D">
            <w:pPr>
              <w:pStyle w:val="7"/>
              <w:spacing w:before="181" w:line="241" w:lineRule="auto"/>
              <w:ind w:left="285"/>
              <w:jc w:val="both"/>
              <w:rPr>
                <w:rFonts w:hint="eastAsia" w:ascii="方正仿宋_GBK" w:hAnsi="方正仿宋_GBK" w:eastAsia="方正仿宋_GBK" w:cs="方正仿宋_GBK"/>
                <w:sz w:val="21"/>
                <w:szCs w:val="21"/>
              </w:rPr>
            </w:pPr>
            <w:r>
              <w:rPr>
                <w:rFonts w:hint="eastAsia" w:ascii="方正仿宋_GBK" w:hAnsi="方正仿宋_GBK" w:eastAsia="方正仿宋_GBK" w:cs="方正仿宋_GBK"/>
                <w:spacing w:val="-9"/>
                <w:sz w:val="21"/>
                <w:szCs w:val="21"/>
              </w:rPr>
              <w:t>序号</w:t>
            </w:r>
          </w:p>
        </w:tc>
        <w:tc>
          <w:tcPr>
            <w:tcW w:w="3075" w:type="dxa"/>
            <w:vAlign w:val="center"/>
          </w:tcPr>
          <w:p w14:paraId="421FAEA8">
            <w:pPr>
              <w:pStyle w:val="7"/>
              <w:spacing w:before="180" w:line="239" w:lineRule="auto"/>
              <w:jc w:val="both"/>
              <w:rPr>
                <w:rFonts w:hint="eastAsia" w:ascii="方正仿宋_GBK" w:hAnsi="方正仿宋_GBK" w:eastAsia="方正仿宋_GBK" w:cs="方正仿宋_GBK"/>
                <w:sz w:val="21"/>
                <w:szCs w:val="21"/>
              </w:rPr>
            </w:pPr>
            <w:r>
              <w:rPr>
                <w:rFonts w:hint="eastAsia" w:ascii="方正仿宋_GBK" w:hAnsi="方正仿宋_GBK" w:eastAsia="方正仿宋_GBK" w:cs="方正仿宋_GBK"/>
                <w:spacing w:val="-4"/>
                <w:sz w:val="21"/>
                <w:szCs w:val="21"/>
              </w:rPr>
              <w:t>检验项</w:t>
            </w:r>
            <w:r>
              <w:rPr>
                <w:rFonts w:hint="eastAsia" w:ascii="方正仿宋_GBK" w:hAnsi="方正仿宋_GBK" w:eastAsia="方正仿宋_GBK" w:cs="方正仿宋_GBK"/>
                <w:spacing w:val="-56"/>
                <w:sz w:val="21"/>
                <w:szCs w:val="21"/>
              </w:rPr>
              <w:t xml:space="preserve"> </w:t>
            </w:r>
            <w:r>
              <w:rPr>
                <w:rFonts w:hint="eastAsia" w:ascii="方正仿宋_GBK" w:hAnsi="方正仿宋_GBK" w:eastAsia="方正仿宋_GBK" w:cs="方正仿宋_GBK"/>
                <w:spacing w:val="-4"/>
                <w:sz w:val="21"/>
                <w:szCs w:val="21"/>
              </w:rPr>
              <w:t>目</w:t>
            </w:r>
          </w:p>
        </w:tc>
        <w:tc>
          <w:tcPr>
            <w:tcW w:w="3315" w:type="dxa"/>
            <w:vAlign w:val="center"/>
          </w:tcPr>
          <w:p w14:paraId="2DC19C45">
            <w:pPr>
              <w:pStyle w:val="7"/>
              <w:spacing w:before="180" w:line="239" w:lineRule="auto"/>
              <w:jc w:val="both"/>
              <w:rPr>
                <w:rFonts w:hint="eastAsia" w:ascii="方正仿宋_GBK" w:hAnsi="方正仿宋_GBK" w:eastAsia="方正仿宋_GBK" w:cs="方正仿宋_GBK"/>
                <w:sz w:val="21"/>
                <w:szCs w:val="21"/>
              </w:rPr>
            </w:pPr>
            <w:r>
              <w:rPr>
                <w:rFonts w:hint="eastAsia" w:ascii="方正仿宋_GBK" w:hAnsi="方正仿宋_GBK" w:eastAsia="方正仿宋_GBK" w:cs="方正仿宋_GBK"/>
                <w:spacing w:val="-4"/>
                <w:sz w:val="21"/>
                <w:szCs w:val="21"/>
              </w:rPr>
              <w:t>检验依据</w:t>
            </w:r>
          </w:p>
        </w:tc>
        <w:tc>
          <w:tcPr>
            <w:tcW w:w="1864" w:type="dxa"/>
            <w:vAlign w:val="center"/>
          </w:tcPr>
          <w:p w14:paraId="3FAA367F">
            <w:pPr>
              <w:pStyle w:val="7"/>
              <w:spacing w:before="180" w:line="239" w:lineRule="auto"/>
              <w:jc w:val="both"/>
              <w:rPr>
                <w:rFonts w:hint="eastAsia" w:ascii="方正仿宋_GBK" w:hAnsi="方正仿宋_GBK" w:eastAsia="方正仿宋_GBK" w:cs="方正仿宋_GBK"/>
                <w:sz w:val="21"/>
                <w:szCs w:val="21"/>
              </w:rPr>
            </w:pPr>
            <w:r>
              <w:rPr>
                <w:rFonts w:hint="eastAsia" w:ascii="方正仿宋_GBK" w:hAnsi="方正仿宋_GBK" w:eastAsia="方正仿宋_GBK" w:cs="方正仿宋_GBK"/>
                <w:spacing w:val="-4"/>
                <w:sz w:val="21"/>
                <w:szCs w:val="21"/>
              </w:rPr>
              <w:t>检验方法</w:t>
            </w:r>
          </w:p>
        </w:tc>
      </w:tr>
      <w:tr w14:paraId="784E2D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676" w:type="dxa"/>
            <w:vAlign w:val="center"/>
          </w:tcPr>
          <w:p w14:paraId="2881211A">
            <w:pPr>
              <w:snapToGrid w:val="0"/>
              <w:spacing w:line="440" w:lineRule="exact"/>
              <w:jc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sz w:val="21"/>
                <w:szCs w:val="21"/>
              </w:rPr>
              <w:t>1</w:t>
            </w:r>
          </w:p>
        </w:tc>
        <w:tc>
          <w:tcPr>
            <w:tcW w:w="3075" w:type="dxa"/>
            <w:vAlign w:val="center"/>
          </w:tcPr>
          <w:p w14:paraId="3BDDE276">
            <w:pPr>
              <w:snapToGrid w:val="0"/>
              <w:spacing w:line="300" w:lineRule="exact"/>
              <w:jc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sz w:val="21"/>
                <w:szCs w:val="21"/>
              </w:rPr>
              <w:t>甲醛含量</w:t>
            </w:r>
          </w:p>
        </w:tc>
        <w:tc>
          <w:tcPr>
            <w:tcW w:w="3315" w:type="dxa"/>
            <w:vMerge w:val="restart"/>
            <w:vAlign w:val="center"/>
          </w:tcPr>
          <w:p w14:paraId="15B94311">
            <w:pPr>
              <w:snapToGrid w:val="0"/>
              <w:spacing w:line="300" w:lineRule="exact"/>
              <w:jc w:val="center"/>
              <w:rPr>
                <w:rFonts w:hint="eastAsia" w:ascii="方正仿宋_GBK" w:hAnsi="方正仿宋_GBK" w:eastAsia="方正仿宋_GBK" w:cs="方正仿宋_GBK"/>
                <w:sz w:val="21"/>
                <w:szCs w:val="21"/>
                <w:lang w:eastAsia="en-US"/>
              </w:rPr>
            </w:pPr>
            <w:r>
              <w:rPr>
                <w:rFonts w:hint="eastAsia" w:ascii="方正仿宋_GBK" w:hAnsi="方正仿宋_GBK" w:eastAsia="方正仿宋_GBK" w:cs="方正仿宋_GBK"/>
                <w:sz w:val="21"/>
                <w:szCs w:val="21"/>
              </w:rPr>
              <w:t>GB/T 2</w:t>
            </w:r>
            <w:r>
              <w:rPr>
                <w:rFonts w:hint="eastAsia" w:ascii="方正仿宋_GBK" w:hAnsi="方正仿宋_GBK" w:eastAsia="方正仿宋_GBK" w:cs="方正仿宋_GBK"/>
                <w:sz w:val="21"/>
                <w:szCs w:val="21"/>
              </w:rPr>
              <w:t>9862-2013、GB 18401-2010</w:t>
            </w:r>
            <w:r>
              <w:rPr>
                <w:rFonts w:hint="eastAsia" w:ascii="方正仿宋_GBK" w:hAnsi="方正仿宋_GBK" w:eastAsia="方正仿宋_GBK" w:cs="方正仿宋_GBK"/>
                <w:sz w:val="21"/>
                <w:szCs w:val="21"/>
                <w:lang w:eastAsia="zh-CN"/>
              </w:rPr>
              <w:t>、</w:t>
            </w:r>
            <w:r>
              <w:rPr>
                <w:rFonts w:hint="eastAsia" w:ascii="方正仿宋_GBK" w:hAnsi="方正仿宋_GBK" w:eastAsia="方正仿宋_GBK" w:cs="方正仿宋_GBK"/>
                <w:sz w:val="21"/>
                <w:szCs w:val="21"/>
              </w:rPr>
              <w:t>GB 31701-2015、GB/T 8878-2023、FZ/T 73022-2019 、FZ/T 73024-2014及相应产品标准</w:t>
            </w:r>
          </w:p>
        </w:tc>
        <w:tc>
          <w:tcPr>
            <w:tcW w:w="1864" w:type="dxa"/>
            <w:vAlign w:val="center"/>
          </w:tcPr>
          <w:p w14:paraId="02FAAC3E">
            <w:pPr>
              <w:snapToGrid w:val="0"/>
              <w:spacing w:line="300" w:lineRule="exact"/>
              <w:jc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sz w:val="21"/>
                <w:szCs w:val="21"/>
              </w:rPr>
              <w:t>GB/T 2912.1-2009</w:t>
            </w:r>
          </w:p>
        </w:tc>
      </w:tr>
      <w:tr w14:paraId="1C878E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1" w:hRule="atLeast"/>
        </w:trPr>
        <w:tc>
          <w:tcPr>
            <w:tcW w:w="676" w:type="dxa"/>
            <w:vAlign w:val="center"/>
          </w:tcPr>
          <w:p w14:paraId="64D234A3">
            <w:pPr>
              <w:snapToGrid w:val="0"/>
              <w:spacing w:line="440" w:lineRule="exact"/>
              <w:jc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sz w:val="21"/>
                <w:szCs w:val="21"/>
              </w:rPr>
              <w:t>2</w:t>
            </w:r>
          </w:p>
        </w:tc>
        <w:tc>
          <w:tcPr>
            <w:tcW w:w="3075" w:type="dxa"/>
            <w:vAlign w:val="center"/>
          </w:tcPr>
          <w:p w14:paraId="4A0051C8">
            <w:pPr>
              <w:snapToGrid w:val="0"/>
              <w:spacing w:line="300" w:lineRule="exact"/>
              <w:jc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sz w:val="21"/>
                <w:szCs w:val="21"/>
              </w:rPr>
              <w:t>pH 值</w:t>
            </w:r>
          </w:p>
        </w:tc>
        <w:tc>
          <w:tcPr>
            <w:tcW w:w="3315" w:type="dxa"/>
            <w:vMerge w:val="continue"/>
            <w:vAlign w:val="center"/>
          </w:tcPr>
          <w:p w14:paraId="7AACAB07">
            <w:pPr>
              <w:snapToGrid w:val="0"/>
              <w:spacing w:line="300" w:lineRule="exact"/>
              <w:jc w:val="center"/>
              <w:rPr>
                <w:rFonts w:hint="eastAsia" w:ascii="方正仿宋_GBK" w:hAnsi="方正仿宋_GBK" w:eastAsia="方正仿宋_GBK" w:cs="方正仿宋_GBK"/>
                <w:sz w:val="21"/>
                <w:szCs w:val="21"/>
              </w:rPr>
            </w:pPr>
          </w:p>
        </w:tc>
        <w:tc>
          <w:tcPr>
            <w:tcW w:w="1864" w:type="dxa"/>
            <w:vAlign w:val="center"/>
          </w:tcPr>
          <w:p w14:paraId="3E827B22">
            <w:pPr>
              <w:snapToGrid w:val="0"/>
              <w:spacing w:line="300" w:lineRule="exact"/>
              <w:jc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sz w:val="21"/>
                <w:szCs w:val="21"/>
              </w:rPr>
              <w:t>GB/T 7573-2009</w:t>
            </w:r>
          </w:p>
        </w:tc>
      </w:tr>
      <w:tr w14:paraId="55191B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4" w:hRule="atLeast"/>
        </w:trPr>
        <w:tc>
          <w:tcPr>
            <w:tcW w:w="676" w:type="dxa"/>
            <w:vAlign w:val="center"/>
          </w:tcPr>
          <w:p w14:paraId="45CED8C5">
            <w:pPr>
              <w:snapToGrid w:val="0"/>
              <w:spacing w:line="440" w:lineRule="exact"/>
              <w:jc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sz w:val="21"/>
                <w:szCs w:val="21"/>
              </w:rPr>
              <w:t>3</w:t>
            </w:r>
          </w:p>
        </w:tc>
        <w:tc>
          <w:tcPr>
            <w:tcW w:w="3075" w:type="dxa"/>
            <w:vAlign w:val="center"/>
          </w:tcPr>
          <w:p w14:paraId="1D83BB31">
            <w:pPr>
              <w:snapToGrid w:val="0"/>
              <w:spacing w:line="300" w:lineRule="exact"/>
              <w:jc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sz w:val="21"/>
                <w:szCs w:val="21"/>
              </w:rPr>
              <w:t>可分解致癌芳香胺染料</w:t>
            </w:r>
          </w:p>
        </w:tc>
        <w:tc>
          <w:tcPr>
            <w:tcW w:w="3315" w:type="dxa"/>
            <w:vMerge w:val="continue"/>
            <w:vAlign w:val="center"/>
          </w:tcPr>
          <w:p w14:paraId="0314A0E0">
            <w:pPr>
              <w:snapToGrid w:val="0"/>
              <w:spacing w:line="300" w:lineRule="exact"/>
              <w:jc w:val="center"/>
              <w:rPr>
                <w:rFonts w:hint="eastAsia" w:ascii="方正仿宋_GBK" w:hAnsi="方正仿宋_GBK" w:eastAsia="方正仿宋_GBK" w:cs="方正仿宋_GBK"/>
                <w:sz w:val="21"/>
                <w:szCs w:val="21"/>
              </w:rPr>
            </w:pPr>
          </w:p>
        </w:tc>
        <w:tc>
          <w:tcPr>
            <w:tcW w:w="1864" w:type="dxa"/>
            <w:vAlign w:val="center"/>
          </w:tcPr>
          <w:p w14:paraId="3C90E075">
            <w:pPr>
              <w:snapToGrid w:val="0"/>
              <w:spacing w:line="300" w:lineRule="exact"/>
              <w:jc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sz w:val="21"/>
                <w:szCs w:val="21"/>
              </w:rPr>
              <w:t>GB/T 17592-2011</w:t>
            </w:r>
          </w:p>
          <w:p w14:paraId="6CAF41B2">
            <w:pPr>
              <w:snapToGrid w:val="0"/>
              <w:spacing w:line="300" w:lineRule="exact"/>
              <w:jc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sz w:val="21"/>
                <w:szCs w:val="21"/>
              </w:rPr>
              <w:t>GB/T 23344-2009</w:t>
            </w:r>
          </w:p>
        </w:tc>
      </w:tr>
      <w:tr w14:paraId="46EC8A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676" w:type="dxa"/>
            <w:vAlign w:val="center"/>
          </w:tcPr>
          <w:p w14:paraId="218F2A74">
            <w:pPr>
              <w:snapToGrid w:val="0"/>
              <w:spacing w:line="440" w:lineRule="exact"/>
              <w:jc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sz w:val="21"/>
                <w:szCs w:val="21"/>
              </w:rPr>
              <w:t>4</w:t>
            </w:r>
          </w:p>
        </w:tc>
        <w:tc>
          <w:tcPr>
            <w:tcW w:w="3075" w:type="dxa"/>
            <w:vAlign w:val="center"/>
          </w:tcPr>
          <w:p w14:paraId="3409BB13">
            <w:pPr>
              <w:snapToGrid w:val="0"/>
              <w:spacing w:line="300" w:lineRule="exact"/>
              <w:jc w:val="center"/>
              <w:rPr>
                <w:rFonts w:hint="eastAsia" w:ascii="方正仿宋_GBK" w:hAnsi="方正仿宋_GBK" w:eastAsia="方正仿宋_GBK" w:cs="方正仿宋_GBK"/>
                <w:sz w:val="21"/>
                <w:szCs w:val="21"/>
                <w:lang w:eastAsia="en-US"/>
              </w:rPr>
            </w:pPr>
            <w:r>
              <w:rPr>
                <w:rFonts w:hint="eastAsia" w:ascii="方正仿宋_GBK" w:hAnsi="方正仿宋_GBK" w:eastAsia="方正仿宋_GBK" w:cs="方正仿宋_GBK"/>
                <w:sz w:val="21"/>
                <w:szCs w:val="21"/>
              </w:rPr>
              <w:t>耐水色牢度</w:t>
            </w:r>
          </w:p>
        </w:tc>
        <w:tc>
          <w:tcPr>
            <w:tcW w:w="3315" w:type="dxa"/>
            <w:vMerge w:val="continue"/>
            <w:vAlign w:val="center"/>
          </w:tcPr>
          <w:p w14:paraId="59DB6453">
            <w:pPr>
              <w:snapToGrid w:val="0"/>
              <w:spacing w:line="300" w:lineRule="exact"/>
              <w:jc w:val="center"/>
              <w:rPr>
                <w:rFonts w:hint="eastAsia" w:ascii="方正仿宋_GBK" w:hAnsi="方正仿宋_GBK" w:eastAsia="方正仿宋_GBK" w:cs="方正仿宋_GBK"/>
                <w:sz w:val="21"/>
                <w:szCs w:val="21"/>
              </w:rPr>
            </w:pPr>
          </w:p>
        </w:tc>
        <w:tc>
          <w:tcPr>
            <w:tcW w:w="1864" w:type="dxa"/>
            <w:vAlign w:val="center"/>
          </w:tcPr>
          <w:p w14:paraId="59002157">
            <w:pPr>
              <w:snapToGrid w:val="0"/>
              <w:spacing w:line="300" w:lineRule="exact"/>
              <w:jc w:val="center"/>
              <w:rPr>
                <w:rFonts w:hint="eastAsia" w:ascii="方正仿宋_GBK" w:hAnsi="方正仿宋_GBK" w:eastAsia="方正仿宋_GBK" w:cs="方正仿宋_GBK"/>
                <w:sz w:val="21"/>
                <w:szCs w:val="21"/>
                <w:lang w:eastAsia="en-US"/>
              </w:rPr>
            </w:pPr>
            <w:r>
              <w:rPr>
                <w:rFonts w:hint="eastAsia" w:ascii="方正仿宋_GBK" w:hAnsi="方正仿宋_GBK" w:eastAsia="方正仿宋_GBK" w:cs="方正仿宋_GBK"/>
                <w:sz w:val="21"/>
                <w:szCs w:val="21"/>
              </w:rPr>
              <w:t>GB/T 5713-2013</w:t>
            </w:r>
          </w:p>
        </w:tc>
      </w:tr>
      <w:tr w14:paraId="2CDA32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9" w:hRule="atLeast"/>
        </w:trPr>
        <w:tc>
          <w:tcPr>
            <w:tcW w:w="676" w:type="dxa"/>
            <w:vAlign w:val="center"/>
          </w:tcPr>
          <w:p w14:paraId="6FB644FC">
            <w:pPr>
              <w:snapToGrid w:val="0"/>
              <w:spacing w:line="440" w:lineRule="exact"/>
              <w:jc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sz w:val="21"/>
                <w:szCs w:val="21"/>
              </w:rPr>
              <w:t>5</w:t>
            </w:r>
          </w:p>
        </w:tc>
        <w:tc>
          <w:tcPr>
            <w:tcW w:w="3075" w:type="dxa"/>
            <w:vAlign w:val="center"/>
          </w:tcPr>
          <w:p w14:paraId="4051ACFB">
            <w:pPr>
              <w:snapToGrid w:val="0"/>
              <w:spacing w:line="300" w:lineRule="exact"/>
              <w:jc w:val="center"/>
              <w:rPr>
                <w:rFonts w:hint="eastAsia" w:ascii="方正仿宋_GBK" w:hAnsi="方正仿宋_GBK" w:eastAsia="方正仿宋_GBK" w:cs="方正仿宋_GBK"/>
                <w:sz w:val="21"/>
                <w:szCs w:val="21"/>
                <w:lang w:eastAsia="en-US"/>
              </w:rPr>
            </w:pPr>
            <w:r>
              <w:rPr>
                <w:rFonts w:hint="eastAsia" w:ascii="方正仿宋_GBK" w:hAnsi="方正仿宋_GBK" w:eastAsia="方正仿宋_GBK" w:cs="方正仿宋_GBK"/>
                <w:sz w:val="21"/>
                <w:szCs w:val="21"/>
              </w:rPr>
              <w:t>耐酸汗渍色牢度</w:t>
            </w:r>
          </w:p>
        </w:tc>
        <w:tc>
          <w:tcPr>
            <w:tcW w:w="3315" w:type="dxa"/>
            <w:vMerge w:val="continue"/>
            <w:vAlign w:val="center"/>
          </w:tcPr>
          <w:p w14:paraId="48336EB8">
            <w:pPr>
              <w:snapToGrid w:val="0"/>
              <w:spacing w:line="300" w:lineRule="exact"/>
              <w:jc w:val="center"/>
              <w:rPr>
                <w:rFonts w:hint="eastAsia" w:ascii="方正仿宋_GBK" w:hAnsi="方正仿宋_GBK" w:eastAsia="方正仿宋_GBK" w:cs="方正仿宋_GBK"/>
                <w:sz w:val="21"/>
                <w:szCs w:val="21"/>
              </w:rPr>
            </w:pPr>
          </w:p>
        </w:tc>
        <w:tc>
          <w:tcPr>
            <w:tcW w:w="1864" w:type="dxa"/>
            <w:vAlign w:val="center"/>
          </w:tcPr>
          <w:p w14:paraId="48E17B08">
            <w:pPr>
              <w:snapToGrid w:val="0"/>
              <w:spacing w:line="300" w:lineRule="exact"/>
              <w:jc w:val="center"/>
              <w:rPr>
                <w:rFonts w:hint="eastAsia" w:ascii="方正仿宋_GBK" w:hAnsi="方正仿宋_GBK" w:eastAsia="方正仿宋_GBK" w:cs="方正仿宋_GBK"/>
                <w:sz w:val="21"/>
                <w:szCs w:val="21"/>
                <w:lang w:eastAsia="en-US"/>
              </w:rPr>
            </w:pPr>
            <w:r>
              <w:rPr>
                <w:rFonts w:hint="eastAsia" w:ascii="方正仿宋_GBK" w:hAnsi="方正仿宋_GBK" w:eastAsia="方正仿宋_GBK" w:cs="方正仿宋_GBK"/>
                <w:sz w:val="21"/>
                <w:szCs w:val="21"/>
              </w:rPr>
              <w:t>GB/T 3922-2013</w:t>
            </w:r>
          </w:p>
        </w:tc>
      </w:tr>
      <w:tr w14:paraId="3C8F23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2" w:hRule="atLeast"/>
        </w:trPr>
        <w:tc>
          <w:tcPr>
            <w:tcW w:w="676" w:type="dxa"/>
            <w:vAlign w:val="center"/>
          </w:tcPr>
          <w:p w14:paraId="1CF65DC8">
            <w:pPr>
              <w:snapToGrid w:val="0"/>
              <w:spacing w:line="440" w:lineRule="exact"/>
              <w:jc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sz w:val="21"/>
                <w:szCs w:val="21"/>
              </w:rPr>
              <w:t>6</w:t>
            </w:r>
          </w:p>
        </w:tc>
        <w:tc>
          <w:tcPr>
            <w:tcW w:w="3075" w:type="dxa"/>
            <w:vAlign w:val="center"/>
          </w:tcPr>
          <w:p w14:paraId="4AD2D78D">
            <w:pPr>
              <w:snapToGrid w:val="0"/>
              <w:spacing w:line="300" w:lineRule="exact"/>
              <w:jc w:val="center"/>
              <w:rPr>
                <w:rFonts w:hint="eastAsia" w:ascii="方正仿宋_GBK" w:hAnsi="方正仿宋_GBK" w:eastAsia="方正仿宋_GBK" w:cs="方正仿宋_GBK"/>
                <w:sz w:val="21"/>
                <w:szCs w:val="21"/>
                <w:lang w:eastAsia="en-US"/>
              </w:rPr>
            </w:pPr>
            <w:r>
              <w:rPr>
                <w:rFonts w:hint="eastAsia" w:ascii="方正仿宋_GBK" w:hAnsi="方正仿宋_GBK" w:eastAsia="方正仿宋_GBK" w:cs="方正仿宋_GBK"/>
                <w:sz w:val="21"/>
                <w:szCs w:val="21"/>
              </w:rPr>
              <w:t>耐碱汗渍色牢度</w:t>
            </w:r>
          </w:p>
        </w:tc>
        <w:tc>
          <w:tcPr>
            <w:tcW w:w="3315" w:type="dxa"/>
            <w:vMerge w:val="continue"/>
            <w:vAlign w:val="center"/>
          </w:tcPr>
          <w:p w14:paraId="747B012C">
            <w:pPr>
              <w:snapToGrid w:val="0"/>
              <w:spacing w:line="300" w:lineRule="exact"/>
              <w:jc w:val="center"/>
              <w:rPr>
                <w:rFonts w:hint="eastAsia" w:ascii="方正仿宋_GBK" w:hAnsi="方正仿宋_GBK" w:eastAsia="方正仿宋_GBK" w:cs="方正仿宋_GBK"/>
                <w:sz w:val="21"/>
                <w:szCs w:val="21"/>
              </w:rPr>
            </w:pPr>
          </w:p>
        </w:tc>
        <w:tc>
          <w:tcPr>
            <w:tcW w:w="1864" w:type="dxa"/>
            <w:vAlign w:val="center"/>
          </w:tcPr>
          <w:p w14:paraId="2439F68B">
            <w:pPr>
              <w:snapToGrid w:val="0"/>
              <w:spacing w:line="300" w:lineRule="exact"/>
              <w:jc w:val="center"/>
              <w:rPr>
                <w:rFonts w:hint="eastAsia" w:ascii="方正仿宋_GBK" w:hAnsi="方正仿宋_GBK" w:eastAsia="方正仿宋_GBK" w:cs="方正仿宋_GBK"/>
                <w:sz w:val="21"/>
                <w:szCs w:val="21"/>
                <w:lang w:eastAsia="en-US"/>
              </w:rPr>
            </w:pPr>
            <w:r>
              <w:rPr>
                <w:rFonts w:hint="eastAsia" w:ascii="方正仿宋_GBK" w:hAnsi="方正仿宋_GBK" w:eastAsia="方正仿宋_GBK" w:cs="方正仿宋_GBK"/>
                <w:sz w:val="21"/>
                <w:szCs w:val="21"/>
              </w:rPr>
              <w:t>GB/T 3922-2013</w:t>
            </w:r>
          </w:p>
        </w:tc>
      </w:tr>
      <w:tr w14:paraId="3E17C8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1" w:hRule="atLeast"/>
        </w:trPr>
        <w:tc>
          <w:tcPr>
            <w:tcW w:w="676" w:type="dxa"/>
            <w:vAlign w:val="center"/>
          </w:tcPr>
          <w:p w14:paraId="01C836F8">
            <w:pPr>
              <w:snapToGrid w:val="0"/>
              <w:spacing w:line="440" w:lineRule="exact"/>
              <w:jc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sz w:val="21"/>
                <w:szCs w:val="21"/>
              </w:rPr>
              <w:t>7</w:t>
            </w:r>
          </w:p>
        </w:tc>
        <w:tc>
          <w:tcPr>
            <w:tcW w:w="3075" w:type="dxa"/>
            <w:vAlign w:val="center"/>
          </w:tcPr>
          <w:p w14:paraId="16A744D3">
            <w:pPr>
              <w:snapToGrid w:val="0"/>
              <w:spacing w:line="300" w:lineRule="exact"/>
              <w:jc w:val="center"/>
              <w:rPr>
                <w:rFonts w:hint="eastAsia" w:ascii="方正仿宋_GBK" w:hAnsi="方正仿宋_GBK" w:eastAsia="方正仿宋_GBK" w:cs="方正仿宋_GBK"/>
                <w:sz w:val="21"/>
                <w:szCs w:val="21"/>
                <w:lang w:eastAsia="en-US"/>
              </w:rPr>
            </w:pPr>
            <w:r>
              <w:rPr>
                <w:rFonts w:hint="eastAsia" w:ascii="方正仿宋_GBK" w:hAnsi="方正仿宋_GBK" w:eastAsia="方正仿宋_GBK" w:cs="方正仿宋_GBK"/>
                <w:sz w:val="21"/>
                <w:szCs w:val="21"/>
              </w:rPr>
              <w:t>耐干摩擦色牢度</w:t>
            </w:r>
          </w:p>
        </w:tc>
        <w:tc>
          <w:tcPr>
            <w:tcW w:w="3315" w:type="dxa"/>
            <w:vMerge w:val="continue"/>
            <w:vAlign w:val="center"/>
          </w:tcPr>
          <w:p w14:paraId="0D97EC4D">
            <w:pPr>
              <w:snapToGrid w:val="0"/>
              <w:spacing w:line="300" w:lineRule="exact"/>
              <w:jc w:val="center"/>
              <w:rPr>
                <w:rFonts w:hint="eastAsia" w:ascii="方正仿宋_GBK" w:hAnsi="方正仿宋_GBK" w:eastAsia="方正仿宋_GBK" w:cs="方正仿宋_GBK"/>
                <w:sz w:val="21"/>
                <w:szCs w:val="21"/>
              </w:rPr>
            </w:pPr>
          </w:p>
        </w:tc>
        <w:tc>
          <w:tcPr>
            <w:tcW w:w="1864" w:type="dxa"/>
            <w:vAlign w:val="center"/>
          </w:tcPr>
          <w:p w14:paraId="22912A32">
            <w:pPr>
              <w:snapToGrid w:val="0"/>
              <w:spacing w:line="300" w:lineRule="exact"/>
              <w:jc w:val="center"/>
              <w:rPr>
                <w:rFonts w:hint="eastAsia" w:ascii="方正仿宋_GBK" w:hAnsi="方正仿宋_GBK" w:eastAsia="方正仿宋_GBK" w:cs="方正仿宋_GBK"/>
                <w:sz w:val="21"/>
                <w:szCs w:val="21"/>
                <w:lang w:eastAsia="en-US"/>
              </w:rPr>
            </w:pPr>
            <w:r>
              <w:rPr>
                <w:rFonts w:hint="eastAsia" w:ascii="方正仿宋_GBK" w:hAnsi="方正仿宋_GBK" w:eastAsia="方正仿宋_GBK" w:cs="方正仿宋_GBK"/>
                <w:sz w:val="21"/>
                <w:szCs w:val="21"/>
              </w:rPr>
              <w:t>GB/T 3920-2008</w:t>
            </w:r>
          </w:p>
        </w:tc>
      </w:tr>
      <w:tr w14:paraId="42BF04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4" w:hRule="atLeast"/>
        </w:trPr>
        <w:tc>
          <w:tcPr>
            <w:tcW w:w="676" w:type="dxa"/>
            <w:vAlign w:val="center"/>
          </w:tcPr>
          <w:p w14:paraId="04A6305A">
            <w:pPr>
              <w:snapToGrid w:val="0"/>
              <w:spacing w:line="440" w:lineRule="exact"/>
              <w:jc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sz w:val="21"/>
                <w:szCs w:val="21"/>
              </w:rPr>
              <w:t>8</w:t>
            </w:r>
          </w:p>
        </w:tc>
        <w:tc>
          <w:tcPr>
            <w:tcW w:w="3075" w:type="dxa"/>
            <w:vAlign w:val="center"/>
          </w:tcPr>
          <w:p w14:paraId="6EBC796E">
            <w:pPr>
              <w:snapToGrid w:val="0"/>
              <w:spacing w:line="440" w:lineRule="exact"/>
              <w:jc w:val="center"/>
              <w:rPr>
                <w:rFonts w:hint="eastAsia" w:ascii="方正仿宋_GBK" w:hAnsi="方正仿宋_GBK" w:eastAsia="方正仿宋_GBK" w:cs="方正仿宋_GBK"/>
                <w:sz w:val="21"/>
                <w:szCs w:val="21"/>
              </w:rPr>
            </w:pPr>
          </w:p>
          <w:p w14:paraId="3E79C20E">
            <w:pPr>
              <w:snapToGrid w:val="0"/>
              <w:spacing w:line="300" w:lineRule="exact"/>
              <w:jc w:val="center"/>
              <w:rPr>
                <w:rFonts w:hint="eastAsia" w:ascii="方正仿宋_GBK" w:hAnsi="方正仿宋_GBK" w:eastAsia="方正仿宋_GBK" w:cs="方正仿宋_GBK"/>
                <w:sz w:val="21"/>
                <w:szCs w:val="21"/>
                <w:lang w:eastAsia="en-US"/>
              </w:rPr>
            </w:pPr>
            <w:r>
              <w:rPr>
                <w:rFonts w:hint="eastAsia" w:ascii="方正仿宋_GBK" w:hAnsi="方正仿宋_GBK" w:eastAsia="方正仿宋_GBK" w:cs="方正仿宋_GBK"/>
                <w:sz w:val="21"/>
                <w:szCs w:val="21"/>
              </w:rPr>
              <w:t>纤维含量</w:t>
            </w:r>
          </w:p>
        </w:tc>
        <w:tc>
          <w:tcPr>
            <w:tcW w:w="3315" w:type="dxa"/>
            <w:vMerge w:val="continue"/>
            <w:vAlign w:val="center"/>
          </w:tcPr>
          <w:p w14:paraId="00757372">
            <w:pPr>
              <w:snapToGrid w:val="0"/>
              <w:spacing w:line="300" w:lineRule="exact"/>
              <w:jc w:val="center"/>
              <w:rPr>
                <w:rFonts w:hint="eastAsia" w:ascii="方正仿宋_GBK" w:hAnsi="方正仿宋_GBK" w:eastAsia="方正仿宋_GBK" w:cs="方正仿宋_GBK"/>
                <w:sz w:val="21"/>
                <w:szCs w:val="21"/>
                <w:lang w:eastAsia="en-US"/>
              </w:rPr>
            </w:pPr>
          </w:p>
        </w:tc>
        <w:tc>
          <w:tcPr>
            <w:tcW w:w="1864" w:type="dxa"/>
            <w:vAlign w:val="center"/>
          </w:tcPr>
          <w:p w14:paraId="3790C1BB">
            <w:pPr>
              <w:adjustRightInd w:val="0"/>
              <w:snapToGrid w:val="0"/>
              <w:spacing w:line="300" w:lineRule="exact"/>
              <w:jc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sz w:val="21"/>
                <w:szCs w:val="21"/>
              </w:rPr>
              <w:t>FZ/T 01057.1—2007</w:t>
            </w:r>
          </w:p>
          <w:p w14:paraId="6C2FD7BF">
            <w:pPr>
              <w:adjustRightInd w:val="0"/>
              <w:snapToGrid w:val="0"/>
              <w:spacing w:line="300" w:lineRule="exact"/>
              <w:jc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sz w:val="21"/>
                <w:szCs w:val="21"/>
              </w:rPr>
              <w:t>GB/T 2910.1—2009</w:t>
            </w:r>
          </w:p>
          <w:p w14:paraId="0DF79841">
            <w:pPr>
              <w:snapToGrid w:val="0"/>
              <w:spacing w:line="300" w:lineRule="exact"/>
              <w:jc w:val="center"/>
              <w:rPr>
                <w:rFonts w:hint="eastAsia" w:ascii="方正仿宋_GBK" w:hAnsi="方正仿宋_GBK" w:eastAsia="方正仿宋_GBK" w:cs="方正仿宋_GBK"/>
                <w:sz w:val="21"/>
                <w:szCs w:val="21"/>
                <w:lang w:eastAsia="en-US"/>
              </w:rPr>
            </w:pPr>
            <w:r>
              <w:rPr>
                <w:rFonts w:hint="eastAsia" w:ascii="方正仿宋_GBK" w:hAnsi="方正仿宋_GBK" w:eastAsia="方正仿宋_GBK" w:cs="方正仿宋_GBK"/>
                <w:sz w:val="21"/>
                <w:szCs w:val="21"/>
              </w:rPr>
              <w:t>等</w:t>
            </w:r>
          </w:p>
        </w:tc>
      </w:tr>
    </w:tbl>
    <w:p w14:paraId="5B10BF12">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检验方法包括相关产品标准及试验方法标准。</w:t>
      </w:r>
    </w:p>
    <w:p w14:paraId="2C27C7D6">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rPr>
        <w:t>凡是注日期的文件，其随后所有的修改单（不包括勘误的内容）或修订版不适用于本细则。凡是不注日期的文件，其最新版本适用于本细则</w:t>
      </w:r>
      <w:r>
        <w:rPr>
          <w:rFonts w:hint="eastAsia" w:ascii="方正仿宋_GBK" w:hAnsi="方正仿宋_GBK" w:eastAsia="方正仿宋_GBK" w:cs="方正仿宋_GBK"/>
          <w:sz w:val="32"/>
          <w:szCs w:val="32"/>
          <w:lang w:eastAsia="zh-CN"/>
        </w:rPr>
        <w:t>。</w:t>
      </w:r>
    </w:p>
    <w:p w14:paraId="6A4F32E4">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黑体"/>
          <w:bCs/>
          <w:sz w:val="32"/>
          <w:szCs w:val="32"/>
        </w:rPr>
      </w:pPr>
      <w:r>
        <w:rPr>
          <w:rFonts w:hint="eastAsia" w:ascii="Times New Roman" w:hAnsi="Times New Roman" w:eastAsia="黑体"/>
          <w:bCs/>
          <w:sz w:val="32"/>
          <w:szCs w:val="32"/>
        </w:rPr>
        <w:t>4</w:t>
      </w:r>
      <w:r>
        <w:rPr>
          <w:rFonts w:ascii="Times New Roman" w:hAnsi="Times New Roman" w:eastAsia="黑体"/>
          <w:bCs/>
          <w:sz w:val="32"/>
          <w:szCs w:val="32"/>
        </w:rPr>
        <w:t>.</w:t>
      </w:r>
      <w:r>
        <w:rPr>
          <w:rFonts w:hint="eastAsia" w:ascii="Times New Roman" w:hAnsi="Times New Roman" w:eastAsia="黑体"/>
          <w:bCs/>
          <w:sz w:val="32"/>
          <w:szCs w:val="32"/>
        </w:rPr>
        <w:t>判定规则</w:t>
      </w:r>
    </w:p>
    <w:p w14:paraId="30F25E30">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4.1依据标准</w:t>
      </w:r>
    </w:p>
    <w:p w14:paraId="7DF78E2D">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GB 18401-2010《国家纺织产品基本安全技术规范》</w:t>
      </w:r>
    </w:p>
    <w:p w14:paraId="2AB26EAD">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GB/T 29862-2013《纺织品 纤维含量的标识》</w:t>
      </w:r>
    </w:p>
    <w:p w14:paraId="0F99F92B">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K" w:hAnsi="方正仿宋_GBK" w:eastAsia="方正仿宋_GBK" w:cs="方正仿宋_GBK"/>
          <w:color w:val="000000"/>
          <w:sz w:val="32"/>
          <w:szCs w:val="32"/>
          <w:lang w:val="en-US" w:eastAsia="zh-CN"/>
        </w:rPr>
      </w:pPr>
      <w:bookmarkStart w:id="0" w:name="_GoBack"/>
      <w:r>
        <w:rPr>
          <w:rFonts w:hint="eastAsia" w:ascii="方正仿宋_GBK" w:hAnsi="方正仿宋_GBK" w:eastAsia="方正仿宋_GBK" w:cs="方正仿宋_GBK"/>
          <w:color w:val="000000"/>
          <w:sz w:val="32"/>
          <w:szCs w:val="32"/>
        </w:rPr>
        <w:t>GB/T 8878-2023</w:t>
      </w:r>
      <w:r>
        <w:rPr>
          <w:rFonts w:hint="eastAsia" w:ascii="方正仿宋_GBK" w:hAnsi="方正仿宋_GBK" w:eastAsia="方正仿宋_GBK" w:cs="方正仿宋_GBK"/>
          <w:color w:val="000000"/>
          <w:sz w:val="32"/>
          <w:szCs w:val="32"/>
          <w:lang w:val="en-US" w:eastAsia="zh-CN"/>
        </w:rPr>
        <w:t xml:space="preserve"> 《针织内衣》</w:t>
      </w:r>
    </w:p>
    <w:p w14:paraId="74F7DA99">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FZ/T 73011-2013《针织腹带》</w:t>
      </w:r>
    </w:p>
    <w:p w14:paraId="6E624CFB">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FZ/T 73012-2017《文胸》</w:t>
      </w:r>
    </w:p>
    <w:p w14:paraId="476EF96A">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FZ/T 73019.1-2017《针织塑身内衣  弹力型》</w:t>
      </w:r>
    </w:p>
    <w:p w14:paraId="25FB095E">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FZ/T 73019.2-2020《针织塑身内衣  调整型》</w:t>
      </w:r>
    </w:p>
    <w:p w14:paraId="6F4E5756">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K" w:hAnsi="方正仿宋_GBK" w:eastAsia="方正仿宋_GBK" w:cs="方正仿宋_GBK"/>
          <w:color w:val="000000"/>
          <w:sz w:val="32"/>
          <w:szCs w:val="32"/>
          <w:lang w:val="en-US" w:eastAsia="zh-CN"/>
        </w:rPr>
      </w:pPr>
      <w:r>
        <w:rPr>
          <w:rFonts w:hint="eastAsia" w:ascii="方正仿宋_GBK" w:hAnsi="方正仿宋_GBK" w:eastAsia="方正仿宋_GBK" w:cs="方正仿宋_GBK"/>
          <w:color w:val="000000"/>
          <w:sz w:val="32"/>
          <w:szCs w:val="32"/>
        </w:rPr>
        <w:t xml:space="preserve">FZ/T 73022-2019 </w:t>
      </w:r>
      <w:r>
        <w:rPr>
          <w:rFonts w:hint="eastAsia" w:ascii="方正仿宋_GBK" w:hAnsi="方正仿宋_GBK" w:eastAsia="方正仿宋_GBK" w:cs="方正仿宋_GBK"/>
          <w:color w:val="000000"/>
          <w:sz w:val="32"/>
          <w:szCs w:val="32"/>
          <w:lang w:eastAsia="zh-CN"/>
        </w:rPr>
        <w:t>《针织保暖内衣》</w:t>
      </w:r>
    </w:p>
    <w:p w14:paraId="45E5CAC3">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K" w:hAnsi="方正仿宋_GBK" w:eastAsia="方正仿宋_GBK" w:cs="方正仿宋_GBK"/>
          <w:color w:val="000000"/>
          <w:sz w:val="32"/>
          <w:szCs w:val="32"/>
          <w:lang w:val="en-US" w:eastAsia="zh-CN"/>
        </w:rPr>
      </w:pPr>
      <w:r>
        <w:rPr>
          <w:rFonts w:hint="eastAsia" w:ascii="方正仿宋_GBK" w:hAnsi="方正仿宋_GBK" w:eastAsia="方正仿宋_GBK" w:cs="方正仿宋_GBK"/>
          <w:color w:val="000000"/>
          <w:sz w:val="32"/>
          <w:szCs w:val="32"/>
        </w:rPr>
        <w:t>FZ/T 73024-2014</w:t>
      </w:r>
      <w:r>
        <w:rPr>
          <w:rFonts w:hint="eastAsia" w:ascii="方正仿宋_GBK" w:hAnsi="方正仿宋_GBK" w:eastAsia="方正仿宋_GBK" w:cs="方正仿宋_GBK"/>
          <w:color w:val="000000"/>
          <w:sz w:val="32"/>
          <w:szCs w:val="32"/>
          <w:lang w:val="en-US" w:eastAsia="zh-CN"/>
        </w:rPr>
        <w:t xml:space="preserve"> 《化纤针织内衣》</w:t>
      </w:r>
    </w:p>
    <w:p w14:paraId="29A591A6">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FZ/T 73046-2020《一体成型文胸》</w:t>
      </w:r>
    </w:p>
    <w:p w14:paraId="54796A79">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FZ/T 74002-2014《运动文胸》</w:t>
      </w:r>
    </w:p>
    <w:p w14:paraId="6BC671E4">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K" w:hAnsi="方正仿宋_GBK" w:eastAsia="方正仿宋_GBK" w:cs="方正仿宋_GBK"/>
          <w:color w:val="000000"/>
          <w:sz w:val="32"/>
          <w:szCs w:val="32"/>
          <w:lang w:val="en-US" w:eastAsia="zh-CN"/>
        </w:rPr>
      </w:pPr>
      <w:r>
        <w:rPr>
          <w:rFonts w:hint="eastAsia" w:ascii="方正仿宋_GBK" w:hAnsi="方正仿宋_GBK" w:eastAsia="方正仿宋_GBK" w:cs="方正仿宋_GBK"/>
          <w:color w:val="000000"/>
          <w:sz w:val="32"/>
          <w:szCs w:val="32"/>
        </w:rPr>
        <w:t>FZ/T 81020-2014《机织文胸》</w:t>
      </w:r>
      <w:r>
        <w:rPr>
          <w:rFonts w:hint="eastAsia" w:ascii="方正仿宋_GBK" w:hAnsi="方正仿宋_GBK" w:eastAsia="方正仿宋_GBK" w:cs="方正仿宋_GBK"/>
          <w:color w:val="000000"/>
          <w:sz w:val="32"/>
          <w:szCs w:val="32"/>
          <w:lang w:val="en-US" w:eastAsia="zh-CN"/>
        </w:rPr>
        <w:t>等</w:t>
      </w:r>
    </w:p>
    <w:bookmarkEnd w:id="0"/>
    <w:p w14:paraId="77EC243F">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相关的法律法规、部门规章和规范</w:t>
      </w:r>
    </w:p>
    <w:p w14:paraId="146952A3">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K" w:hAnsi="方正仿宋_GBK" w:eastAsia="方正仿宋_GBK" w:cs="方正仿宋_GBK"/>
          <w:color w:val="000000"/>
          <w:sz w:val="32"/>
          <w:szCs w:val="32"/>
          <w:lang w:eastAsia="zh-CN"/>
        </w:rPr>
      </w:pPr>
      <w:r>
        <w:rPr>
          <w:rFonts w:hint="eastAsia" w:ascii="方正仿宋_GBK" w:hAnsi="方正仿宋_GBK" w:eastAsia="方正仿宋_GBK" w:cs="方正仿宋_GBK"/>
          <w:color w:val="000000"/>
          <w:sz w:val="32"/>
          <w:szCs w:val="32"/>
        </w:rPr>
        <w:t>现行有效的企业标准、团体标准、地方标准及产品明示质量要求</w:t>
      </w:r>
      <w:r>
        <w:rPr>
          <w:rFonts w:hint="eastAsia" w:ascii="方正仿宋_GBK" w:hAnsi="方正仿宋_GBK" w:eastAsia="方正仿宋_GBK" w:cs="方正仿宋_GBK"/>
          <w:color w:val="000000"/>
          <w:sz w:val="32"/>
          <w:szCs w:val="32"/>
          <w:lang w:eastAsia="zh-CN"/>
        </w:rPr>
        <w:t>。</w:t>
      </w:r>
    </w:p>
    <w:p w14:paraId="4FC594FC">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4.2判定原则</w:t>
      </w:r>
    </w:p>
    <w:p w14:paraId="3E8BCCE1">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经检验，检验项目全部合格，判定为被抽查产品</w:t>
      </w:r>
      <w:r>
        <w:rPr>
          <w:rFonts w:hint="eastAsia" w:ascii="方正仿宋_GBK" w:hAnsi="方正仿宋_GBK" w:eastAsia="方正仿宋_GBK" w:cs="方正仿宋_GBK"/>
          <w:sz w:val="32"/>
          <w:szCs w:val="32"/>
          <w:lang w:val="en-US" w:eastAsia="zh-CN"/>
        </w:rPr>
        <w:t>未发现不合格</w:t>
      </w:r>
      <w:r>
        <w:rPr>
          <w:rFonts w:hint="eastAsia" w:ascii="方正仿宋_GBK" w:hAnsi="方正仿宋_GBK" w:eastAsia="方正仿宋_GBK" w:cs="方正仿宋_GBK"/>
          <w:sz w:val="32"/>
          <w:szCs w:val="32"/>
        </w:rPr>
        <w:t>；检验项目中任一项或一项以上不合格，判定为被抽查产品不合格。</w:t>
      </w:r>
    </w:p>
    <w:p w14:paraId="5764B8E8">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14:paraId="2EF42F8E">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14:paraId="7614D81C">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若被检产品明示的质量要求低于或包含细则中检验项目依据的推荐性标准要求时，应以被检产品明示的质量要求判定，但应在检验报告备注中进行说明。</w:t>
      </w:r>
    </w:p>
    <w:p w14:paraId="0E733FF3">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14:paraId="46910778">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若被检产品明示的质量要求缺少本细则中检验项目依据的推荐性标准要求时，该项目不参与判定，但应在检验报告备注中进行说明。</w:t>
      </w:r>
    </w:p>
    <w:p w14:paraId="40778323">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黑体"/>
          <w:bCs/>
          <w:sz w:val="32"/>
          <w:szCs w:val="32"/>
        </w:rPr>
      </w:pPr>
      <w:r>
        <w:rPr>
          <w:rFonts w:hint="eastAsia" w:ascii="Times New Roman" w:hAnsi="Times New Roman" w:eastAsia="黑体"/>
          <w:bCs/>
          <w:sz w:val="32"/>
          <w:szCs w:val="32"/>
        </w:rPr>
        <w:t>5</w:t>
      </w:r>
      <w:r>
        <w:rPr>
          <w:rFonts w:ascii="Times New Roman" w:hAnsi="Times New Roman" w:eastAsia="黑体"/>
          <w:bCs/>
          <w:sz w:val="32"/>
          <w:szCs w:val="32"/>
        </w:rPr>
        <w:t>.</w:t>
      </w:r>
      <w:r>
        <w:rPr>
          <w:rFonts w:hint="eastAsia" w:ascii="Times New Roman" w:hAnsi="Times New Roman" w:eastAsia="黑体"/>
          <w:bCs/>
          <w:sz w:val="32"/>
          <w:szCs w:val="32"/>
        </w:rPr>
        <w:t>异议处理</w:t>
      </w:r>
    </w:p>
    <w:p w14:paraId="53835891">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方正仿宋_GBK"/>
          <w:sz w:val="32"/>
          <w:szCs w:val="32"/>
        </w:rPr>
      </w:pPr>
      <w:r>
        <w:rPr>
          <w:rFonts w:hint="eastAsia" w:ascii="Times New Roman" w:hAnsi="Times New Roman" w:eastAsia="方正仿宋_GBK"/>
          <w:sz w:val="32"/>
          <w:szCs w:val="32"/>
        </w:rPr>
        <w:t>5.1</w:t>
      </w:r>
      <w:r>
        <w:rPr>
          <w:rFonts w:ascii="Times New Roman" w:hAnsi="Times New Roman" w:eastAsia="方正仿宋_GBK"/>
          <w:sz w:val="32"/>
          <w:szCs w:val="32"/>
        </w:rPr>
        <w:t>对监督抽查程序有异议的，由任务下达部门核查相关证据后维持或者撤销原检验结果</w:t>
      </w:r>
      <w:r>
        <w:rPr>
          <w:rFonts w:hint="eastAsia" w:ascii="Times New Roman" w:hAnsi="Times New Roman" w:eastAsia="方正仿宋_GBK"/>
          <w:sz w:val="32"/>
          <w:szCs w:val="32"/>
        </w:rPr>
        <w:t>。</w:t>
      </w:r>
    </w:p>
    <w:p w14:paraId="49772D1B">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方正仿宋_GBK"/>
          <w:sz w:val="32"/>
          <w:szCs w:val="32"/>
        </w:rPr>
      </w:pPr>
      <w:r>
        <w:rPr>
          <w:rFonts w:hint="eastAsia" w:ascii="Times New Roman" w:hAnsi="Times New Roman" w:eastAsia="方正仿宋_GBK"/>
          <w:sz w:val="32"/>
          <w:szCs w:val="32"/>
        </w:rPr>
        <w:t>5.2</w:t>
      </w:r>
      <w:r>
        <w:rPr>
          <w:rFonts w:ascii="Times New Roman" w:hAnsi="Times New Roman" w:eastAsia="方正仿宋_GBK"/>
          <w:sz w:val="32"/>
          <w:szCs w:val="32"/>
        </w:rPr>
        <w:t>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70952C89">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方正仿宋_GBK"/>
          <w:sz w:val="32"/>
          <w:szCs w:val="32"/>
        </w:rPr>
      </w:pPr>
      <w:r>
        <w:rPr>
          <w:rFonts w:hint="eastAsia" w:ascii="Times New Roman" w:hAnsi="Times New Roman" w:eastAsia="方正仿宋_GBK"/>
          <w:sz w:val="32"/>
          <w:szCs w:val="32"/>
        </w:rPr>
        <w:t>5.3</w:t>
      </w:r>
      <w:r>
        <w:rPr>
          <w:rFonts w:ascii="Times New Roman" w:hAnsi="Times New Roman" w:eastAsia="方正仿宋_GBK"/>
          <w:sz w:val="32"/>
          <w:szCs w:val="32"/>
        </w:rPr>
        <w:t>对样品信息有异议的，任务下达部门核查样品确认情况和生产企业提交证明材料后，维持或者撤销原检验结果。</w:t>
      </w:r>
    </w:p>
    <w:p w14:paraId="238B2D2A">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420" w:firstLineChars="200"/>
        <w:textAlignment w:val="auto"/>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CCCC3E2-B20C-4B91-BD3F-E349409042E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_GBK">
    <w:panose1 w:val="02000000000000000000"/>
    <w:charset w:val="86"/>
    <w:family w:val="script"/>
    <w:pitch w:val="default"/>
    <w:sig w:usb0="A00002BF" w:usb1="38CF7CFA" w:usb2="00082016" w:usb3="00000000" w:csb0="00040001" w:csb1="00000000"/>
    <w:embedRegular r:id="rId2" w:fontKey="{8065071C-C5E1-4B07-B97F-63BB14738F68}"/>
  </w:font>
  <w:font w:name="仿宋_GB2312">
    <w:panose1 w:val="02010609030101010101"/>
    <w:charset w:val="86"/>
    <w:family w:val="modern"/>
    <w:pitch w:val="default"/>
    <w:sig w:usb0="00000001" w:usb1="080E0000" w:usb2="00000000" w:usb3="00000000" w:csb0="00040000" w:csb1="00000000"/>
    <w:embedRegular r:id="rId3" w:fontKey="{7D55AE04-0D01-4668-AA59-CF10F10D10FB}"/>
  </w:font>
  <w:font w:name="方正仿宋_GBK">
    <w:panose1 w:val="02000000000000000000"/>
    <w:charset w:val="86"/>
    <w:family w:val="script"/>
    <w:pitch w:val="default"/>
    <w:sig w:usb0="A00002BF" w:usb1="38CF7CFA" w:usb2="00082016" w:usb3="00000000" w:csb0="00040001" w:csb1="00000000"/>
    <w:embedRegular r:id="rId4" w:fontKey="{549A71D2-047C-44AF-94DF-4AE178AF1023}"/>
  </w:font>
  <w:font w:name="WPSEMBED29">
    <w:panose1 w:val="02010609030101010101"/>
    <w:charset w:val="86"/>
    <w:family w:val="auto"/>
    <w:pitch w:val="default"/>
    <w:sig w:usb0="00000001" w:usb1="080E0000" w:usb2="00000000" w:usb3="00000000" w:csb0="00040000" w:csb1="0000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multilevel"/>
    <w:tmpl w:val="00000006"/>
    <w:lvl w:ilvl="0" w:tentative="0">
      <w:start w:val="1"/>
      <w:numFmt w:val="chineseCountingThousand"/>
      <w:suff w:val="nothing"/>
      <w:lvlText w:val="第%1章"/>
      <w:lvlJc w:val="left"/>
    </w:lvl>
    <w:lvl w:ilvl="1" w:tentative="0">
      <w:start w:val="1"/>
      <w:numFmt w:val="none"/>
      <w:suff w:val="nothing"/>
      <w:lvlText w:val=""/>
      <w:lvlJc w:val="left"/>
    </w:lvl>
    <w:lvl w:ilvl="2" w:tentative="0">
      <w:start w:val="1"/>
      <w:numFmt w:val="none"/>
      <w:suff w:val="nothing"/>
      <w:lvlText w:val=""/>
      <w:lvlJc w:val="left"/>
    </w:lvl>
    <w:lvl w:ilvl="3" w:tentative="0">
      <w:start w:val="1"/>
      <w:numFmt w:val="none"/>
      <w:pStyle w:val="2"/>
      <w:suff w:val="nothing"/>
      <w:lvlText w:val=""/>
      <w:lvlJc w:val="left"/>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mOTVlM2JlNTNmYTVlMDMyNWMxODNhYzA4OGVlMTIifQ=="/>
  </w:docVars>
  <w:rsids>
    <w:rsidRoot w:val="00000000"/>
    <w:rsid w:val="019315FE"/>
    <w:rsid w:val="07F3614E"/>
    <w:rsid w:val="0CE32129"/>
    <w:rsid w:val="0E2732C9"/>
    <w:rsid w:val="0F426E96"/>
    <w:rsid w:val="10547D26"/>
    <w:rsid w:val="112E1369"/>
    <w:rsid w:val="14983A03"/>
    <w:rsid w:val="1C2362A8"/>
    <w:rsid w:val="1FFC753C"/>
    <w:rsid w:val="1FFE5062"/>
    <w:rsid w:val="20B612C7"/>
    <w:rsid w:val="20D800EF"/>
    <w:rsid w:val="20F65488"/>
    <w:rsid w:val="231A5541"/>
    <w:rsid w:val="26D02C66"/>
    <w:rsid w:val="292673D8"/>
    <w:rsid w:val="31A00638"/>
    <w:rsid w:val="336D0C3D"/>
    <w:rsid w:val="36DC35C8"/>
    <w:rsid w:val="37623CD1"/>
    <w:rsid w:val="3D2633A6"/>
    <w:rsid w:val="3D2F7F62"/>
    <w:rsid w:val="3D8A6731"/>
    <w:rsid w:val="41124C6E"/>
    <w:rsid w:val="43476426"/>
    <w:rsid w:val="44380293"/>
    <w:rsid w:val="44741284"/>
    <w:rsid w:val="45CD4B03"/>
    <w:rsid w:val="46F2217B"/>
    <w:rsid w:val="4C8B005F"/>
    <w:rsid w:val="4CBC6414"/>
    <w:rsid w:val="4DA1243B"/>
    <w:rsid w:val="521B775A"/>
    <w:rsid w:val="577710BD"/>
    <w:rsid w:val="59465FF6"/>
    <w:rsid w:val="5CD11BCA"/>
    <w:rsid w:val="60692B59"/>
    <w:rsid w:val="60C7316A"/>
    <w:rsid w:val="61321F75"/>
    <w:rsid w:val="663C33CB"/>
    <w:rsid w:val="68D946D6"/>
    <w:rsid w:val="6B574BF4"/>
    <w:rsid w:val="6ED464D6"/>
    <w:rsid w:val="70200D35"/>
    <w:rsid w:val="734927BA"/>
    <w:rsid w:val="73624258"/>
    <w:rsid w:val="74681C20"/>
    <w:rsid w:val="76752DB2"/>
    <w:rsid w:val="76C32994"/>
    <w:rsid w:val="776262C5"/>
    <w:rsid w:val="7D2205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autoRedefine/>
    <w:qFormat/>
    <w:uiPriority w:val="0"/>
    <w:pPr>
      <w:keepNext/>
      <w:keepLines/>
      <w:numPr>
        <w:ilvl w:val="3"/>
        <w:numId w:val="1"/>
      </w:numPr>
      <w:spacing w:before="280" w:after="290" w:line="376" w:lineRule="auto"/>
      <w:outlineLvl w:val="3"/>
    </w:pPr>
    <w:rPr>
      <w:rFonts w:ascii="Cambria" w:hAnsi="Cambria" w:cs="Cambria"/>
      <w:b/>
      <w:bCs/>
      <w:sz w:val="28"/>
      <w:szCs w:val="28"/>
    </w:rPr>
  </w:style>
  <w:style w:type="character" w:default="1" w:styleId="6">
    <w:name w:val="Default Paragraph Font"/>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3">
    <w:name w:val="Body Text Indent"/>
    <w:basedOn w:val="1"/>
    <w:autoRedefine/>
    <w:qFormat/>
    <w:uiPriority w:val="0"/>
    <w:pPr>
      <w:spacing w:after="120" w:afterLines="0" w:afterAutospacing="0"/>
      <w:ind w:left="420" w:leftChars="200"/>
    </w:pPr>
  </w:style>
  <w:style w:type="paragraph" w:styleId="4">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customStyle="1" w:styleId="7">
    <w:name w:val="Table Text"/>
    <w:basedOn w:val="1"/>
    <w:qFormat/>
    <w:uiPriority w:val="0"/>
    <w:pPr>
      <w:keepNext/>
      <w:widowControl/>
      <w:spacing w:before="40" w:after="40"/>
      <w:jc w:val="left"/>
    </w:pPr>
    <w:rPr>
      <w:rFonts w:ascii="Arial" w:hAnsi="Arial" w:eastAsia="PMingLiU"/>
      <w:kern w:val="28"/>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1240</Words>
  <Characters>1898</Characters>
  <Lines>0</Lines>
  <Paragraphs>0</Paragraphs>
  <TotalTime>1</TotalTime>
  <ScaleCrop>false</ScaleCrop>
  <LinksUpToDate>false</LinksUpToDate>
  <CharactersWithSpaces>1941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2022-05-12T03:25:00Z</dcterms:created>
  <dc:creator>lenovo</dc:creator>
  <cp:lastModifiedBy>Alfie</cp:lastModifiedBy>
  <cp:lastPrinted>2023-01-15T07:01:00Z</cp:lastPrinted>
  <dcterms:modified xsi:type="dcterms:W3CDTF">2026-07-02T01:20:48Z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49A0B626052A4043BD80D01EDF951B5A_13</vt:lpwstr>
  </property>
  <property fmtid="{D5CDD505-2E9C-101B-9397-08002B2CF9AE}" pid="4" name="KSOTemplateDocerSaveRecord">
    <vt:lpwstr>eyJoZGlkIjoiY2RkYTM3YTMwZjkyNjU2YTQxNmEwYTJjNThmYTUzOWIiLCJ1c2VySWQiOiI0MzEzNDkxMTQifQ==</vt:lpwstr>
  </property>
</Properties>
</file>