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9FA9A">
      <w:pPr>
        <w:snapToGrid w:val="0"/>
        <w:spacing w:line="580" w:lineRule="exact"/>
        <w:jc w:val="center"/>
        <w:rPr>
          <w:rFonts w:hint="default" w:ascii="Times New Roman" w:hAnsi="Times New Roman" w:eastAsia="方正小标宋_GBK" w:cs="Times New Roman"/>
          <w:color w:val="000000"/>
          <w:sz w:val="44"/>
          <w:szCs w:val="44"/>
          <w:highlight w:val="none"/>
          <w:lang w:eastAsia="zh-CN"/>
        </w:rPr>
      </w:pPr>
      <w:r>
        <w:rPr>
          <w:rFonts w:hint="eastAsia" w:ascii="Times New Roman" w:hAnsi="Times New Roman" w:eastAsia="方正小标宋_GBK" w:cs="Times New Roman"/>
          <w:color w:val="000000"/>
          <w:sz w:val="44"/>
          <w:szCs w:val="44"/>
          <w:highlight w:val="none"/>
          <w:lang w:val="en-US" w:eastAsia="zh-CN"/>
        </w:rPr>
        <w:t>昆山</w:t>
      </w:r>
      <w:r>
        <w:rPr>
          <w:rFonts w:hint="default" w:ascii="Times New Roman" w:hAnsi="Times New Roman" w:eastAsia="方正小标宋_GBK" w:cs="Times New Roman"/>
          <w:color w:val="000000"/>
          <w:sz w:val="44"/>
          <w:szCs w:val="44"/>
          <w:highlight w:val="none"/>
          <w:lang w:val="en-US" w:eastAsia="zh-CN"/>
        </w:rPr>
        <w:t>市</w:t>
      </w:r>
      <w:r>
        <w:rPr>
          <w:rFonts w:hint="eastAsia" w:ascii="Times New Roman" w:hAnsi="Times New Roman" w:eastAsia="方正小标宋_GBK" w:cs="Times New Roman"/>
          <w:color w:val="000000"/>
          <w:sz w:val="44"/>
          <w:szCs w:val="44"/>
          <w:highlight w:val="none"/>
          <w:lang w:val="en-US" w:eastAsia="zh-CN"/>
        </w:rPr>
        <w:t>读写台灯</w:t>
      </w:r>
      <w:r>
        <w:rPr>
          <w:rFonts w:hint="default" w:ascii="Times New Roman" w:hAnsi="Times New Roman" w:eastAsia="方正小标宋_GBK" w:cs="Times New Roman"/>
          <w:color w:val="000000"/>
          <w:sz w:val="44"/>
          <w:szCs w:val="44"/>
          <w:highlight w:val="none"/>
        </w:rPr>
        <w:t>产品质量监督抽查实施细则</w:t>
      </w:r>
      <w:r>
        <w:rPr>
          <w:rFonts w:hint="default" w:ascii="Times New Roman" w:hAnsi="Times New Roman" w:eastAsia="方正小标宋_GBK" w:cs="Times New Roman"/>
          <w:color w:val="000000"/>
          <w:sz w:val="44"/>
          <w:szCs w:val="44"/>
          <w:highlight w:val="none"/>
          <w:lang w:eastAsia="zh-CN"/>
        </w:rPr>
        <w:t>（</w:t>
      </w:r>
      <w:r>
        <w:rPr>
          <w:rFonts w:hint="eastAsia" w:ascii="方正小标宋_GBK" w:hAnsi="方正小标宋_GBK" w:eastAsia="方正小标宋_GBK" w:cs="方正小标宋_GBK"/>
          <w:color w:val="000000"/>
          <w:sz w:val="44"/>
          <w:szCs w:val="44"/>
          <w:highlight w:val="none"/>
          <w:lang w:val="en-US" w:eastAsia="zh-CN"/>
        </w:rPr>
        <w:t>2026</w:t>
      </w:r>
      <w:r>
        <w:rPr>
          <w:rFonts w:hint="default" w:ascii="Times New Roman" w:hAnsi="Times New Roman" w:eastAsia="方正小标宋_GBK" w:cs="Times New Roman"/>
          <w:color w:val="000000"/>
          <w:sz w:val="44"/>
          <w:szCs w:val="44"/>
          <w:highlight w:val="none"/>
          <w:lang w:val="en-US" w:eastAsia="zh-CN"/>
        </w:rPr>
        <w:t>年版</w:t>
      </w:r>
      <w:r>
        <w:rPr>
          <w:rFonts w:hint="default" w:ascii="Times New Roman" w:hAnsi="Times New Roman" w:eastAsia="方正小标宋_GBK" w:cs="Times New Roman"/>
          <w:color w:val="000000"/>
          <w:sz w:val="44"/>
          <w:szCs w:val="44"/>
          <w:highlight w:val="none"/>
          <w:lang w:eastAsia="zh-CN"/>
        </w:rPr>
        <w:t>）</w:t>
      </w:r>
    </w:p>
    <w:p w14:paraId="19B6324B">
      <w:pPr>
        <w:pStyle w:val="64"/>
        <w:rPr>
          <w:rFonts w:hint="default" w:ascii="Times New Roman" w:hAnsi="Times New Roman" w:cs="Times New Roman"/>
          <w:highlight w:val="none"/>
          <w:lang w:eastAsia="zh-CN"/>
        </w:rPr>
      </w:pPr>
    </w:p>
    <w:p w14:paraId="1562A0B2">
      <w:pPr>
        <w:spacing w:line="600" w:lineRule="exact"/>
        <w:ind w:firstLine="640" w:firstLineChars="200"/>
        <w:outlineLvl w:val="0"/>
        <w:rPr>
          <w:rFonts w:hint="default" w:ascii="Times New Roman" w:hAnsi="Times New Roman" w:eastAsia="方正黑体_GBK" w:cs="Times New Roman"/>
          <w:color w:val="000000"/>
          <w:kern w:val="0"/>
          <w:sz w:val="32"/>
          <w:szCs w:val="32"/>
          <w:highlight w:val="none"/>
          <w:shd w:val="clear" w:color="auto" w:fill="FFFFFF"/>
          <w:lang w:bidi="ar"/>
        </w:rPr>
      </w:pPr>
      <w:r>
        <w:rPr>
          <w:rFonts w:hint="default" w:ascii="Times New Roman" w:hAnsi="Times New Roman" w:eastAsia="黑体" w:cs="Times New Roman"/>
          <w:bCs/>
          <w:color w:val="000000"/>
          <w:sz w:val="32"/>
          <w:szCs w:val="32"/>
          <w:highlight w:val="none"/>
        </w:rPr>
        <w:t>1.范围</w:t>
      </w:r>
    </w:p>
    <w:p w14:paraId="4B8CF117">
      <w:pPr>
        <w:spacing w:line="560" w:lineRule="exact"/>
        <w:ind w:firstLine="640" w:firstLineChars="200"/>
        <w:rPr>
          <w:rFonts w:hint="default" w:ascii="Times New Roman" w:hAnsi="Times New Roman" w:eastAsia="仿宋_GB2312" w:cs="Times New Roman"/>
          <w:color w:val="000000"/>
          <w:sz w:val="30"/>
          <w:szCs w:val="32"/>
          <w:highlight w:val="none"/>
        </w:rPr>
      </w:pPr>
      <w:r>
        <w:rPr>
          <w:rFonts w:hint="default" w:ascii="Times New Roman" w:hAnsi="Times New Roman" w:eastAsia="方正仿宋_GBK" w:cs="Times New Roman"/>
          <w:color w:val="000000"/>
          <w:sz w:val="32"/>
          <w:szCs w:val="32"/>
          <w:highlight w:val="none"/>
        </w:rPr>
        <w:t>本细则适用于</w:t>
      </w:r>
      <w:r>
        <w:rPr>
          <w:rFonts w:hint="eastAsia" w:ascii="Times New Roman" w:hAnsi="Times New Roman" w:eastAsia="方正仿宋_GBK" w:cs="Times New Roman"/>
          <w:color w:val="000000"/>
          <w:sz w:val="32"/>
          <w:szCs w:val="32"/>
          <w:highlight w:val="none"/>
          <w:lang w:val="en-US" w:eastAsia="zh-CN"/>
        </w:rPr>
        <w:t>昆山</w:t>
      </w:r>
      <w:r>
        <w:rPr>
          <w:rFonts w:hint="default" w:ascii="Times New Roman" w:hAnsi="Times New Roman" w:eastAsia="方正仿宋_GBK" w:cs="Times New Roman"/>
          <w:color w:val="000000"/>
          <w:sz w:val="32"/>
          <w:szCs w:val="32"/>
          <w:highlight w:val="none"/>
          <w:lang w:val="en-US" w:eastAsia="zh-CN"/>
        </w:rPr>
        <w:t>市</w:t>
      </w:r>
      <w:r>
        <w:rPr>
          <w:rFonts w:hint="default" w:ascii="Times New Roman" w:hAnsi="Times New Roman" w:eastAsia="方正仿宋_GBK" w:cs="Times New Roman"/>
          <w:color w:val="000000"/>
          <w:sz w:val="32"/>
          <w:szCs w:val="32"/>
          <w:highlight w:val="none"/>
        </w:rPr>
        <w:t>市场监督管理局组织的</w:t>
      </w:r>
      <w:r>
        <w:rPr>
          <w:rFonts w:hint="eastAsia" w:ascii="Times New Roman" w:hAnsi="Times New Roman" w:eastAsia="方正仿宋_GBK" w:cs="Times New Roman"/>
          <w:color w:val="000000"/>
          <w:sz w:val="32"/>
          <w:szCs w:val="32"/>
          <w:highlight w:val="none"/>
          <w:lang w:val="en-US" w:eastAsia="zh-CN"/>
        </w:rPr>
        <w:t>读写台灯</w:t>
      </w:r>
      <w:r>
        <w:rPr>
          <w:rFonts w:hint="default" w:ascii="Times New Roman" w:hAnsi="Times New Roman" w:eastAsia="方正仿宋_GBK" w:cs="Times New Roman"/>
          <w:color w:val="000000"/>
          <w:sz w:val="32"/>
          <w:szCs w:val="32"/>
          <w:highlight w:val="none"/>
        </w:rPr>
        <w:t>产品质量监督抽查检验。本细则规定了此产品的抽样方法、检验依据、检验项目、检验方法、判定原则、异议处理及复检。</w:t>
      </w:r>
    </w:p>
    <w:p w14:paraId="7424F9B4">
      <w:pPr>
        <w:spacing w:line="600" w:lineRule="exact"/>
        <w:ind w:firstLine="640" w:firstLineChars="200"/>
        <w:outlineLvl w:val="0"/>
        <w:rPr>
          <w:rFonts w:hint="default" w:ascii="Times New Roman" w:hAnsi="Times New Roman" w:eastAsia="黑体" w:cs="Times New Roman"/>
          <w:bCs/>
          <w:color w:val="000000"/>
          <w:sz w:val="32"/>
          <w:szCs w:val="32"/>
          <w:highlight w:val="none"/>
        </w:rPr>
      </w:pPr>
      <w:r>
        <w:rPr>
          <w:rFonts w:hint="default" w:ascii="Times New Roman" w:hAnsi="Times New Roman" w:eastAsia="黑体" w:cs="Times New Roman"/>
          <w:bCs/>
          <w:color w:val="000000"/>
          <w:sz w:val="32"/>
          <w:szCs w:val="32"/>
          <w:highlight w:val="none"/>
        </w:rPr>
        <w:t>2.抽样方法</w:t>
      </w:r>
    </w:p>
    <w:p w14:paraId="32921EEF">
      <w:pPr>
        <w:spacing w:line="580" w:lineRule="exact"/>
        <w:ind w:firstLine="643" w:firstLineChars="200"/>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rPr>
        <w:t>2.1生产企业、实体店抽样</w:t>
      </w:r>
    </w:p>
    <w:p w14:paraId="7AF4DCB9">
      <w:pPr>
        <w:spacing w:line="580" w:lineRule="exact"/>
        <w:ind w:firstLine="640" w:firstLineChars="200"/>
        <w:rPr>
          <w:rFonts w:hint="default" w:ascii="Times New Roman" w:hAnsi="Times New Roman" w:eastAsia="方正仿宋_GBK" w:cs="Times New Roman"/>
          <w:color w:val="000000"/>
          <w:kern w:val="0"/>
          <w:sz w:val="32"/>
          <w:szCs w:val="32"/>
          <w:highlight w:val="none"/>
          <w:shd w:val="clear" w:color="auto" w:fill="FFFFFF"/>
          <w:lang w:bidi="ar"/>
        </w:rPr>
      </w:pPr>
      <w:r>
        <w:rPr>
          <w:rFonts w:hint="default" w:ascii="Times New Roman" w:hAnsi="Times New Roman" w:eastAsia="方正仿宋_GBK" w:cs="Times New Roman"/>
          <w:color w:val="000000"/>
          <w:sz w:val="32"/>
          <w:szCs w:val="32"/>
          <w:highlight w:val="none"/>
        </w:rPr>
        <w:t>在受检企业的成品仓库或者其确认场所，随机抽取有产品质量检验合格证明或者其他形式表明合格的待销产品，抽样基数应满足抽样要求。</w:t>
      </w:r>
      <w:r>
        <w:rPr>
          <w:rFonts w:hint="default" w:ascii="Times New Roman" w:hAnsi="Times New Roman" w:eastAsia="方正仿宋_GBK" w:cs="Times New Roman"/>
          <w:color w:val="000000"/>
          <w:kern w:val="0"/>
          <w:sz w:val="32"/>
          <w:szCs w:val="32"/>
          <w:highlight w:val="none"/>
          <w:shd w:val="clear" w:color="auto" w:fill="FFFFFF"/>
          <w:lang w:bidi="ar"/>
        </w:rPr>
        <w:t>抽样过程均需拍照留证。一经抽样，立即封样，任何人不得调换。</w:t>
      </w:r>
    </w:p>
    <w:p w14:paraId="6746AA33">
      <w:pPr>
        <w:spacing w:line="580" w:lineRule="exact"/>
        <w:ind w:firstLine="643" w:firstLineChars="200"/>
        <w:outlineLvl w:val="0"/>
        <w:rPr>
          <w:rFonts w:hint="default" w:ascii="Times New Roman" w:hAnsi="Times New Roman" w:eastAsia="方正仿宋_GBK" w:cs="Times New Roman"/>
          <w:bCs/>
          <w:color w:val="000000"/>
          <w:kern w:val="0"/>
          <w:sz w:val="32"/>
          <w:szCs w:val="32"/>
          <w:highlight w:val="none"/>
          <w:shd w:val="clear" w:color="auto" w:fill="FFFFFF"/>
          <w:lang w:bidi="ar"/>
        </w:rPr>
      </w:pPr>
      <w:r>
        <w:rPr>
          <w:rFonts w:hint="default" w:ascii="Times New Roman" w:hAnsi="Times New Roman" w:eastAsia="方正仿宋_GBK" w:cs="Times New Roman"/>
          <w:b/>
          <w:bCs w:val="0"/>
          <w:color w:val="000000"/>
          <w:kern w:val="0"/>
          <w:sz w:val="32"/>
          <w:szCs w:val="32"/>
          <w:highlight w:val="none"/>
          <w:shd w:val="clear" w:color="auto" w:fill="FFFFFF"/>
          <w:lang w:bidi="ar"/>
        </w:rPr>
        <w:t>2.2</w:t>
      </w:r>
      <w:r>
        <w:rPr>
          <w:rFonts w:hint="default" w:ascii="Times New Roman" w:hAnsi="Times New Roman" w:eastAsia="方正仿宋_GBK" w:cs="Times New Roman"/>
          <w:b/>
          <w:bCs/>
          <w:sz w:val="32"/>
          <w:szCs w:val="32"/>
          <w:highlight w:val="none"/>
        </w:rPr>
        <w:t>电商平台采样</w:t>
      </w:r>
    </w:p>
    <w:p w14:paraId="3F120181">
      <w:pPr>
        <w:spacing w:line="580" w:lineRule="exact"/>
        <w:ind w:firstLine="640" w:firstLineChars="200"/>
        <w:rPr>
          <w:rFonts w:hint="eastAsia" w:ascii="Times New Roman" w:hAnsi="Times New Roman" w:eastAsia="方正仿宋_GBK" w:cs="Times New Roman"/>
          <w:color w:val="000000"/>
          <w:sz w:val="32"/>
          <w:szCs w:val="32"/>
          <w:highlight w:val="none"/>
          <w:lang w:val="en-US" w:eastAsia="zh-CN"/>
        </w:rPr>
      </w:pPr>
      <w:r>
        <w:rPr>
          <w:rFonts w:hint="eastAsia" w:ascii="Times New Roman" w:hAnsi="Times New Roman" w:eastAsia="方正仿宋_GBK" w:cs="Times New Roman"/>
          <w:color w:val="000000"/>
          <w:sz w:val="32"/>
          <w:szCs w:val="32"/>
          <w:highlight w:val="none"/>
          <w:lang w:val="en-US" w:eastAsia="zh-CN"/>
        </w:rPr>
        <w:t>读写台灯每批次</w:t>
      </w:r>
      <w:r>
        <w:rPr>
          <w:rFonts w:hint="default" w:ascii="Times New Roman" w:hAnsi="Times New Roman" w:eastAsia="方正仿宋_GBK" w:cs="Times New Roman"/>
          <w:color w:val="000000"/>
          <w:sz w:val="32"/>
          <w:szCs w:val="32"/>
          <w:highlight w:val="none"/>
        </w:rPr>
        <w:t>产品抽取样品</w:t>
      </w:r>
      <w:r>
        <w:rPr>
          <w:rFonts w:hint="eastAsia" w:ascii="Times New Roman" w:hAnsi="Times New Roman" w:eastAsia="方正仿宋_GBK" w:cs="Times New Roman"/>
          <w:color w:val="000000"/>
          <w:sz w:val="32"/>
          <w:szCs w:val="32"/>
          <w:highlight w:val="none"/>
          <w:lang w:val="en-US" w:eastAsia="zh-CN"/>
        </w:rPr>
        <w:t>2台</w:t>
      </w:r>
      <w:r>
        <w:rPr>
          <w:rFonts w:hint="default" w:ascii="Times New Roman" w:hAnsi="Times New Roman" w:eastAsia="方正仿宋_GBK" w:cs="Times New Roman"/>
          <w:color w:val="000000"/>
          <w:sz w:val="32"/>
          <w:szCs w:val="32"/>
          <w:highlight w:val="none"/>
        </w:rPr>
        <w:t>，</w:t>
      </w:r>
      <w:r>
        <w:rPr>
          <w:rFonts w:hint="eastAsia" w:ascii="Times New Roman" w:hAnsi="Times New Roman" w:eastAsia="方正仿宋_GBK" w:cs="Times New Roman"/>
          <w:color w:val="000000"/>
          <w:sz w:val="32"/>
          <w:szCs w:val="32"/>
          <w:highlight w:val="none"/>
          <w:lang w:val="en-US" w:eastAsia="zh-CN"/>
        </w:rPr>
        <w:t>全部作为检验样品，采用原样复检。</w:t>
      </w:r>
    </w:p>
    <w:p w14:paraId="60D87896">
      <w:pPr>
        <w:spacing w:line="580" w:lineRule="exact"/>
        <w:ind w:firstLine="640" w:firstLineChars="200"/>
        <w:rPr>
          <w:rFonts w:hint="default" w:ascii="Times New Roman" w:hAnsi="Times New Roman" w:cs="Times New Roman"/>
          <w:b/>
          <w:bCs/>
          <w:color w:val="000000"/>
          <w:sz w:val="32"/>
          <w:szCs w:val="32"/>
          <w:highlight w:val="none"/>
        </w:rPr>
      </w:pPr>
      <w:bookmarkStart w:id="0" w:name="_GoBack"/>
      <w:bookmarkEnd w:id="0"/>
      <w:r>
        <w:rPr>
          <w:rFonts w:hint="default" w:ascii="Times New Roman" w:hAnsi="Times New Roman" w:eastAsia="黑体" w:cs="Times New Roman"/>
          <w:bCs/>
          <w:color w:val="000000"/>
          <w:sz w:val="32"/>
          <w:szCs w:val="32"/>
          <w:highlight w:val="none"/>
        </w:rPr>
        <w:t>3.检验依据</w:t>
      </w:r>
      <w:r>
        <w:rPr>
          <w:rFonts w:hint="default" w:ascii="Times New Roman" w:hAnsi="Times New Roman" w:eastAsia="方正黑体_GBK" w:cs="Times New Roman"/>
          <w:color w:val="000000"/>
          <w:kern w:val="0"/>
          <w:sz w:val="32"/>
          <w:szCs w:val="32"/>
          <w:highlight w:val="none"/>
          <w:shd w:val="clear" w:color="auto" w:fill="FFFFFF"/>
          <w:lang w:bidi="ar"/>
        </w:rPr>
        <w:t xml:space="preserve"> </w:t>
      </w:r>
    </w:p>
    <w:p w14:paraId="07A54027">
      <w:pPr>
        <w:jc w:val="center"/>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表1儿童青少年用读写作业台灯</w:t>
      </w:r>
      <w:r>
        <w:rPr>
          <w:rFonts w:hint="default" w:ascii="Times New Roman" w:hAnsi="Times New Roman" w:eastAsia="方正仿宋_GBK" w:cs="Times New Roman"/>
          <w:sz w:val="24"/>
          <w:highlight w:val="none"/>
          <w:lang w:val="en-US" w:eastAsia="zh-CN"/>
        </w:rPr>
        <w:t>检验</w:t>
      </w:r>
      <w:r>
        <w:rPr>
          <w:rFonts w:hint="default" w:ascii="Times New Roman" w:hAnsi="Times New Roman" w:eastAsia="方正仿宋_GBK" w:cs="Times New Roman"/>
          <w:sz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1137"/>
        <w:gridCol w:w="1140"/>
        <w:gridCol w:w="2993"/>
        <w:gridCol w:w="3141"/>
      </w:tblGrid>
      <w:tr w14:paraId="33F489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53971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序号</w:t>
            </w:r>
          </w:p>
        </w:tc>
        <w:tc>
          <w:tcPr>
            <w:tcW w:w="1246" w:type="pct"/>
            <w:gridSpan w:val="2"/>
            <w:noWrap w:val="0"/>
            <w:vAlign w:val="center"/>
          </w:tcPr>
          <w:p w14:paraId="202700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检验项目</w:t>
            </w:r>
          </w:p>
        </w:tc>
        <w:tc>
          <w:tcPr>
            <w:tcW w:w="1638" w:type="pct"/>
            <w:noWrap w:val="0"/>
            <w:vAlign w:val="center"/>
          </w:tcPr>
          <w:p w14:paraId="6CD3170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检验依据</w:t>
            </w:r>
          </w:p>
        </w:tc>
        <w:tc>
          <w:tcPr>
            <w:tcW w:w="1719" w:type="pct"/>
            <w:noWrap w:val="0"/>
            <w:vAlign w:val="center"/>
          </w:tcPr>
          <w:p w14:paraId="35F7A5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检验</w:t>
            </w:r>
            <w:r>
              <w:rPr>
                <w:rFonts w:hint="eastAsia" w:ascii="方正仿宋_GBK" w:hAnsi="方正仿宋_GBK" w:eastAsia="方正仿宋_GBK" w:cs="方正仿宋_GBK"/>
                <w:sz w:val="24"/>
                <w:szCs w:val="24"/>
                <w:highlight w:val="none"/>
              </w:rPr>
              <w:t>检测方法</w:t>
            </w:r>
          </w:p>
        </w:tc>
      </w:tr>
      <w:tr w14:paraId="4F0F5B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restart"/>
            <w:noWrap w:val="0"/>
            <w:vAlign w:val="center"/>
          </w:tcPr>
          <w:p w14:paraId="10FCD5E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eastAsia="zh-CN"/>
              </w:rPr>
            </w:pPr>
            <w:r>
              <w:rPr>
                <w:rFonts w:hint="eastAsia" w:ascii="方正仿宋_GBK" w:hAnsi="方正仿宋_GBK" w:eastAsia="方正仿宋_GBK" w:cs="方正仿宋_GBK"/>
                <w:sz w:val="24"/>
                <w:szCs w:val="24"/>
                <w:highlight w:val="none"/>
                <w:lang w:val="en-US" w:eastAsia="zh-CN"/>
              </w:rPr>
              <w:t>1</w:t>
            </w:r>
          </w:p>
        </w:tc>
        <w:tc>
          <w:tcPr>
            <w:tcW w:w="622" w:type="pct"/>
            <w:vMerge w:val="restart"/>
            <w:noWrap w:val="0"/>
            <w:vAlign w:val="center"/>
          </w:tcPr>
          <w:p w14:paraId="35607706">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结构</w:t>
            </w:r>
          </w:p>
        </w:tc>
        <w:tc>
          <w:tcPr>
            <w:tcW w:w="623" w:type="pct"/>
            <w:noWrap w:val="0"/>
            <w:vAlign w:val="center"/>
          </w:tcPr>
          <w:p w14:paraId="559733A8">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走线槽</w:t>
            </w:r>
          </w:p>
        </w:tc>
        <w:tc>
          <w:tcPr>
            <w:tcW w:w="2993" w:type="dxa"/>
            <w:noWrap w:val="0"/>
            <w:vAlign w:val="center"/>
          </w:tcPr>
          <w:p w14:paraId="77A69E35">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0071F7FD">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04D4353D">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7846DE3E">
            <w:pPr>
              <w:snapToGrid w:val="0"/>
              <w:spacing w:line="30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539D72A9">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19C943C5">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1D34DDCB">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66EEC164">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69A5FB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continue"/>
            <w:noWrap w:val="0"/>
            <w:vAlign w:val="center"/>
          </w:tcPr>
          <w:p w14:paraId="13C688A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622" w:type="pct"/>
            <w:vMerge w:val="continue"/>
            <w:noWrap w:val="0"/>
            <w:vAlign w:val="center"/>
          </w:tcPr>
          <w:p w14:paraId="14637D6E">
            <w:pPr>
              <w:snapToGrid w:val="0"/>
              <w:spacing w:line="300" w:lineRule="exact"/>
              <w:jc w:val="center"/>
              <w:rPr>
                <w:rFonts w:hint="eastAsia" w:ascii="方正仿宋_GBK" w:hAnsi="方正仿宋_GBK" w:eastAsia="方正仿宋_GBK" w:cs="方正仿宋_GBK"/>
                <w:sz w:val="24"/>
                <w:szCs w:val="24"/>
                <w:highlight w:val="none"/>
              </w:rPr>
            </w:pPr>
          </w:p>
        </w:tc>
        <w:tc>
          <w:tcPr>
            <w:tcW w:w="623" w:type="pct"/>
            <w:noWrap w:val="0"/>
            <w:vAlign w:val="center"/>
          </w:tcPr>
          <w:p w14:paraId="5E2FB023">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带有不可替换光源的灯具</w:t>
            </w:r>
          </w:p>
        </w:tc>
        <w:tc>
          <w:tcPr>
            <w:tcW w:w="2993" w:type="dxa"/>
            <w:noWrap w:val="0"/>
            <w:vAlign w:val="center"/>
          </w:tcPr>
          <w:p w14:paraId="16B0D5A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0C9550DD">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6AC7692E">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4FC64F5E">
            <w:pPr>
              <w:snapToGrid w:val="0"/>
              <w:spacing w:line="30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0218563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5172E2D6">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230CE0DB">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06087797">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7D9582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continue"/>
            <w:noWrap w:val="0"/>
            <w:vAlign w:val="center"/>
          </w:tcPr>
          <w:p w14:paraId="122192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622" w:type="pct"/>
            <w:vMerge w:val="continue"/>
            <w:noWrap w:val="0"/>
            <w:vAlign w:val="center"/>
          </w:tcPr>
          <w:p w14:paraId="729D64DA">
            <w:pPr>
              <w:snapToGrid w:val="0"/>
              <w:spacing w:line="300" w:lineRule="exact"/>
              <w:jc w:val="center"/>
              <w:rPr>
                <w:rFonts w:hint="eastAsia" w:ascii="方正仿宋_GBK" w:hAnsi="方正仿宋_GBK" w:eastAsia="方正仿宋_GBK" w:cs="方正仿宋_GBK"/>
                <w:sz w:val="24"/>
                <w:szCs w:val="24"/>
                <w:highlight w:val="none"/>
              </w:rPr>
            </w:pPr>
          </w:p>
        </w:tc>
        <w:tc>
          <w:tcPr>
            <w:tcW w:w="623" w:type="pct"/>
            <w:noWrap w:val="0"/>
            <w:vAlign w:val="center"/>
          </w:tcPr>
          <w:p w14:paraId="094E2C1A">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带有非用户替换光源的灯具</w:t>
            </w:r>
          </w:p>
        </w:tc>
        <w:tc>
          <w:tcPr>
            <w:tcW w:w="2993" w:type="dxa"/>
            <w:noWrap w:val="0"/>
            <w:vAlign w:val="center"/>
          </w:tcPr>
          <w:p w14:paraId="3AC67E4C">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71F53483">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456AC6E3">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2D3FB9A3">
            <w:pPr>
              <w:snapToGrid w:val="0"/>
              <w:spacing w:line="30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7DE54180">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02F72357">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6F1F6C14">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343E50F5">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1FA946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continue"/>
            <w:noWrap w:val="0"/>
            <w:vAlign w:val="center"/>
          </w:tcPr>
          <w:p w14:paraId="39EF68F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622" w:type="pct"/>
            <w:vMerge w:val="continue"/>
            <w:noWrap w:val="0"/>
            <w:vAlign w:val="center"/>
          </w:tcPr>
          <w:p w14:paraId="20D6A6DE">
            <w:pPr>
              <w:snapToGrid w:val="0"/>
              <w:spacing w:line="300" w:lineRule="exact"/>
              <w:jc w:val="center"/>
              <w:rPr>
                <w:rFonts w:hint="eastAsia" w:ascii="方正仿宋_GBK" w:hAnsi="方正仿宋_GBK" w:eastAsia="方正仿宋_GBK" w:cs="方正仿宋_GBK"/>
                <w:sz w:val="24"/>
                <w:szCs w:val="24"/>
                <w:highlight w:val="none"/>
              </w:rPr>
            </w:pPr>
          </w:p>
        </w:tc>
        <w:tc>
          <w:tcPr>
            <w:tcW w:w="623" w:type="pct"/>
            <w:noWrap w:val="0"/>
            <w:vAlign w:val="center"/>
          </w:tcPr>
          <w:p w14:paraId="3BBE54D0">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平稳度</w:t>
            </w:r>
          </w:p>
        </w:tc>
        <w:tc>
          <w:tcPr>
            <w:tcW w:w="2993" w:type="dxa"/>
            <w:noWrap w:val="0"/>
            <w:vAlign w:val="center"/>
          </w:tcPr>
          <w:p w14:paraId="7C9203E8">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097E7A63">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10D4AAD2">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04432988">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22013E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30" w:hRule="atLeast"/>
        </w:trPr>
        <w:tc>
          <w:tcPr>
            <w:tcW w:w="396" w:type="pct"/>
            <w:vMerge w:val="restart"/>
            <w:noWrap w:val="0"/>
            <w:vAlign w:val="center"/>
          </w:tcPr>
          <w:p w14:paraId="5FB1681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eastAsia="zh-CN"/>
              </w:rPr>
            </w:pPr>
            <w:r>
              <w:rPr>
                <w:rFonts w:hint="eastAsia" w:ascii="方正仿宋_GBK" w:hAnsi="方正仿宋_GBK" w:eastAsia="方正仿宋_GBK" w:cs="方正仿宋_GBK"/>
                <w:sz w:val="24"/>
                <w:szCs w:val="24"/>
                <w:highlight w:val="none"/>
                <w:lang w:val="en-US" w:eastAsia="zh-CN"/>
              </w:rPr>
              <w:t>2</w:t>
            </w:r>
          </w:p>
        </w:tc>
        <w:tc>
          <w:tcPr>
            <w:tcW w:w="622" w:type="pct"/>
            <w:vMerge w:val="restart"/>
            <w:noWrap w:val="0"/>
            <w:vAlign w:val="center"/>
          </w:tcPr>
          <w:p w14:paraId="71BC403F">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外部接线和内部接线</w:t>
            </w:r>
          </w:p>
        </w:tc>
        <w:tc>
          <w:tcPr>
            <w:tcW w:w="623" w:type="pct"/>
            <w:noWrap w:val="0"/>
            <w:vAlign w:val="center"/>
          </w:tcPr>
          <w:p w14:paraId="5153D1A3">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电源连接方法</w:t>
            </w:r>
          </w:p>
        </w:tc>
        <w:tc>
          <w:tcPr>
            <w:tcW w:w="2993" w:type="dxa"/>
            <w:noWrap w:val="0"/>
            <w:vAlign w:val="center"/>
          </w:tcPr>
          <w:p w14:paraId="6A679031">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037B3BEB">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151FAA23">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6EA4BD0D">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25EEE01C">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7688391E">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084BBCF4">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41E85907">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369348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continue"/>
            <w:noWrap w:val="0"/>
            <w:vAlign w:val="center"/>
          </w:tcPr>
          <w:p w14:paraId="2CB3CA3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622" w:type="pct"/>
            <w:vMerge w:val="continue"/>
            <w:noWrap w:val="0"/>
            <w:vAlign w:val="center"/>
          </w:tcPr>
          <w:p w14:paraId="3F3FEA60">
            <w:pPr>
              <w:snapToGrid w:val="0"/>
              <w:spacing w:line="300" w:lineRule="exact"/>
              <w:jc w:val="center"/>
              <w:rPr>
                <w:rFonts w:hint="eastAsia" w:ascii="方正仿宋_GBK" w:hAnsi="方正仿宋_GBK" w:eastAsia="方正仿宋_GBK" w:cs="方正仿宋_GBK"/>
                <w:sz w:val="24"/>
                <w:szCs w:val="24"/>
                <w:highlight w:val="none"/>
              </w:rPr>
            </w:pPr>
          </w:p>
        </w:tc>
        <w:tc>
          <w:tcPr>
            <w:tcW w:w="623" w:type="pct"/>
            <w:noWrap w:val="0"/>
            <w:vAlign w:val="center"/>
          </w:tcPr>
          <w:p w14:paraId="6EBA4F49">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软线固定架</w:t>
            </w:r>
          </w:p>
        </w:tc>
        <w:tc>
          <w:tcPr>
            <w:tcW w:w="2993" w:type="dxa"/>
            <w:noWrap w:val="0"/>
            <w:vAlign w:val="center"/>
          </w:tcPr>
          <w:p w14:paraId="7E4F6D20">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77BD8FDA">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0F8CA864">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69D6A61F">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0E3EE9A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0C0A999E">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5196DDE9">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06126E79">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098421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05A29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eastAsia="zh-CN"/>
              </w:rPr>
            </w:pPr>
            <w:r>
              <w:rPr>
                <w:rFonts w:hint="eastAsia" w:ascii="方正仿宋_GBK" w:hAnsi="方正仿宋_GBK" w:eastAsia="方正仿宋_GBK" w:cs="方正仿宋_GBK"/>
                <w:sz w:val="24"/>
                <w:szCs w:val="24"/>
                <w:highlight w:val="none"/>
                <w:lang w:val="en-US" w:eastAsia="zh-CN"/>
              </w:rPr>
              <w:t>3</w:t>
            </w:r>
          </w:p>
        </w:tc>
        <w:tc>
          <w:tcPr>
            <w:tcW w:w="1246" w:type="pct"/>
            <w:gridSpan w:val="2"/>
            <w:noWrap w:val="0"/>
            <w:vAlign w:val="center"/>
          </w:tcPr>
          <w:p w14:paraId="22447291">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防触电保护</w:t>
            </w:r>
          </w:p>
        </w:tc>
        <w:tc>
          <w:tcPr>
            <w:tcW w:w="2993" w:type="dxa"/>
            <w:noWrap w:val="0"/>
            <w:vAlign w:val="center"/>
          </w:tcPr>
          <w:p w14:paraId="3359269C">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608A9D3E">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2E502D9A">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6E12BF33">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0AE25779">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0B8A9024">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68C9CD61">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510E17F2">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457BA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D664A1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eastAsia="zh-CN"/>
              </w:rPr>
            </w:pPr>
            <w:r>
              <w:rPr>
                <w:rFonts w:hint="eastAsia" w:ascii="方正仿宋_GBK" w:hAnsi="方正仿宋_GBK" w:eastAsia="方正仿宋_GBK" w:cs="方正仿宋_GBK"/>
                <w:sz w:val="24"/>
                <w:szCs w:val="24"/>
                <w:highlight w:val="none"/>
                <w:lang w:val="en-US" w:eastAsia="zh-CN"/>
              </w:rPr>
              <w:t>4</w:t>
            </w:r>
          </w:p>
        </w:tc>
        <w:tc>
          <w:tcPr>
            <w:tcW w:w="622" w:type="pct"/>
            <w:noWrap w:val="0"/>
            <w:vAlign w:val="center"/>
          </w:tcPr>
          <w:p w14:paraId="7BED7A14">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耐久性试验和热试验</w:t>
            </w:r>
          </w:p>
        </w:tc>
        <w:tc>
          <w:tcPr>
            <w:tcW w:w="623" w:type="pct"/>
            <w:noWrap w:val="0"/>
            <w:vAlign w:val="center"/>
          </w:tcPr>
          <w:p w14:paraId="7990DDC6">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耐久性试验</w:t>
            </w:r>
          </w:p>
        </w:tc>
        <w:tc>
          <w:tcPr>
            <w:tcW w:w="2993" w:type="dxa"/>
            <w:noWrap w:val="0"/>
            <w:vAlign w:val="center"/>
          </w:tcPr>
          <w:p w14:paraId="59CF3FCC">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5CE7D8C2">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4BDDBEFC">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6BBF8E8D">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6C768FB8">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334A8FC5">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78BEA129">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5AF2E8A5">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28C558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restart"/>
            <w:noWrap w:val="0"/>
            <w:vAlign w:val="center"/>
          </w:tcPr>
          <w:p w14:paraId="080A960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eastAsia="zh-CN"/>
              </w:rPr>
            </w:pPr>
            <w:r>
              <w:rPr>
                <w:rFonts w:hint="eastAsia" w:ascii="方正仿宋_GBK" w:hAnsi="方正仿宋_GBK" w:eastAsia="方正仿宋_GBK" w:cs="方正仿宋_GBK"/>
                <w:sz w:val="24"/>
                <w:szCs w:val="24"/>
                <w:highlight w:val="none"/>
                <w:lang w:val="en-US" w:eastAsia="zh-CN"/>
              </w:rPr>
              <w:t>5</w:t>
            </w:r>
          </w:p>
        </w:tc>
        <w:tc>
          <w:tcPr>
            <w:tcW w:w="622" w:type="pct"/>
            <w:vMerge w:val="restart"/>
            <w:noWrap w:val="0"/>
            <w:vAlign w:val="center"/>
          </w:tcPr>
          <w:p w14:paraId="15477263">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耐热、耐火和耐起痕</w:t>
            </w:r>
          </w:p>
        </w:tc>
        <w:tc>
          <w:tcPr>
            <w:tcW w:w="623" w:type="pct"/>
            <w:noWrap w:val="0"/>
            <w:vAlign w:val="center"/>
          </w:tcPr>
          <w:p w14:paraId="72D606D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耐热</w:t>
            </w:r>
          </w:p>
        </w:tc>
        <w:tc>
          <w:tcPr>
            <w:tcW w:w="2993" w:type="dxa"/>
            <w:noWrap w:val="0"/>
            <w:vAlign w:val="center"/>
          </w:tcPr>
          <w:p w14:paraId="6EFAEE71">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2DDB35B0">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22CFB494">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293465A3">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6F4998EE">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29353DB4">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11A04C11">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74CCA925">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23ADA4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continue"/>
            <w:noWrap w:val="0"/>
            <w:vAlign w:val="center"/>
          </w:tcPr>
          <w:p w14:paraId="6A768D9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622" w:type="pct"/>
            <w:vMerge w:val="continue"/>
            <w:noWrap w:val="0"/>
            <w:vAlign w:val="center"/>
          </w:tcPr>
          <w:p w14:paraId="295BDAE7">
            <w:pPr>
              <w:snapToGrid w:val="0"/>
              <w:spacing w:line="300" w:lineRule="exact"/>
              <w:jc w:val="center"/>
              <w:rPr>
                <w:rFonts w:hint="eastAsia" w:ascii="方正仿宋_GBK" w:hAnsi="方正仿宋_GBK" w:eastAsia="方正仿宋_GBK" w:cs="方正仿宋_GBK"/>
                <w:sz w:val="24"/>
                <w:szCs w:val="24"/>
                <w:highlight w:val="none"/>
              </w:rPr>
            </w:pPr>
          </w:p>
        </w:tc>
        <w:tc>
          <w:tcPr>
            <w:tcW w:w="623" w:type="pct"/>
            <w:noWrap w:val="0"/>
            <w:vAlign w:val="center"/>
          </w:tcPr>
          <w:p w14:paraId="05DAC78D">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耐燃烧和防引燃</w:t>
            </w:r>
          </w:p>
        </w:tc>
        <w:tc>
          <w:tcPr>
            <w:tcW w:w="2993" w:type="dxa"/>
            <w:noWrap w:val="0"/>
            <w:vAlign w:val="center"/>
          </w:tcPr>
          <w:p w14:paraId="1A93EFD7">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0D510788">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69B876E9">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7EB1EB5B">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314480DD">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7456EE4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7663FED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3BEC92C9">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7DC82D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05C1D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eastAsia="zh-CN"/>
              </w:rPr>
            </w:pPr>
            <w:r>
              <w:rPr>
                <w:rFonts w:hint="eastAsia" w:ascii="方正仿宋_GBK" w:hAnsi="方正仿宋_GBK" w:eastAsia="方正仿宋_GBK" w:cs="方正仿宋_GBK"/>
                <w:sz w:val="24"/>
                <w:szCs w:val="24"/>
                <w:highlight w:val="none"/>
                <w:lang w:val="en-US" w:eastAsia="zh-CN"/>
              </w:rPr>
              <w:t>6</w:t>
            </w:r>
          </w:p>
        </w:tc>
        <w:tc>
          <w:tcPr>
            <w:tcW w:w="1246" w:type="pct"/>
            <w:gridSpan w:val="2"/>
            <w:noWrap w:val="0"/>
            <w:vAlign w:val="center"/>
          </w:tcPr>
          <w:p w14:paraId="744FDF54">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骚扰电压（电源接口）</w:t>
            </w:r>
          </w:p>
        </w:tc>
        <w:tc>
          <w:tcPr>
            <w:tcW w:w="2993" w:type="dxa"/>
            <w:noWrap w:val="0"/>
            <w:vAlign w:val="center"/>
          </w:tcPr>
          <w:p w14:paraId="7308B5B3">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17743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c>
          <w:tcPr>
            <w:tcW w:w="3141" w:type="dxa"/>
            <w:noWrap w:val="0"/>
            <w:vAlign w:val="center"/>
          </w:tcPr>
          <w:p w14:paraId="5E8D075D">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17743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r>
      <w:tr w14:paraId="1EACBF9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39373A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7</w:t>
            </w:r>
          </w:p>
        </w:tc>
        <w:tc>
          <w:tcPr>
            <w:tcW w:w="1246" w:type="pct"/>
            <w:gridSpan w:val="2"/>
            <w:noWrap w:val="0"/>
            <w:vAlign w:val="center"/>
          </w:tcPr>
          <w:p w14:paraId="7B49067C">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辐射骚扰（30MHz~1GHz）</w:t>
            </w:r>
          </w:p>
        </w:tc>
        <w:tc>
          <w:tcPr>
            <w:tcW w:w="2993" w:type="dxa"/>
            <w:noWrap w:val="0"/>
            <w:vAlign w:val="center"/>
          </w:tcPr>
          <w:p w14:paraId="3E2E679D">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17743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c>
          <w:tcPr>
            <w:tcW w:w="3141" w:type="dxa"/>
            <w:noWrap w:val="0"/>
            <w:vAlign w:val="center"/>
          </w:tcPr>
          <w:p w14:paraId="60824C21">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17743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r>
      <w:tr w14:paraId="5E2F28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7D593C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8</w:t>
            </w:r>
          </w:p>
        </w:tc>
        <w:tc>
          <w:tcPr>
            <w:tcW w:w="1246" w:type="pct"/>
            <w:gridSpan w:val="2"/>
            <w:noWrap w:val="0"/>
            <w:vAlign w:val="center"/>
          </w:tcPr>
          <w:p w14:paraId="30180642">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谐波电流</w:t>
            </w:r>
          </w:p>
        </w:tc>
        <w:tc>
          <w:tcPr>
            <w:tcW w:w="2993" w:type="dxa"/>
            <w:noWrap w:val="0"/>
            <w:vAlign w:val="center"/>
          </w:tcPr>
          <w:p w14:paraId="72CE8850">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17625.1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3141" w:type="dxa"/>
            <w:noWrap w:val="0"/>
            <w:vAlign w:val="center"/>
          </w:tcPr>
          <w:p w14:paraId="0E5F59B8">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17625.1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268C85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10B56D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9</w:t>
            </w:r>
          </w:p>
        </w:tc>
        <w:tc>
          <w:tcPr>
            <w:tcW w:w="1246" w:type="pct"/>
            <w:gridSpan w:val="2"/>
            <w:noWrap w:val="0"/>
            <w:vAlign w:val="center"/>
          </w:tcPr>
          <w:p w14:paraId="7BE5D9B9">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显色指数（R</w:t>
            </w:r>
            <w:r>
              <w:rPr>
                <w:rFonts w:hint="eastAsia" w:ascii="方正仿宋_GBK" w:hAnsi="方正仿宋_GBK" w:eastAsia="方正仿宋_GBK" w:cs="方正仿宋_GBK"/>
                <w:sz w:val="24"/>
                <w:szCs w:val="24"/>
                <w:vertAlign w:val="subscript"/>
              </w:rPr>
              <w:t>a</w:t>
            </w:r>
            <w:r>
              <w:rPr>
                <w:rFonts w:hint="eastAsia" w:ascii="方正仿宋_GBK" w:hAnsi="方正仿宋_GBK" w:eastAsia="方正仿宋_GBK" w:cs="方正仿宋_GBK"/>
                <w:sz w:val="24"/>
                <w:szCs w:val="24"/>
              </w:rPr>
              <w:t>、R</w:t>
            </w:r>
            <w:r>
              <w:rPr>
                <w:rFonts w:hint="eastAsia" w:ascii="方正仿宋_GBK" w:hAnsi="方正仿宋_GBK" w:eastAsia="方正仿宋_GBK" w:cs="方正仿宋_GBK"/>
                <w:sz w:val="24"/>
                <w:szCs w:val="24"/>
                <w:vertAlign w:val="subscript"/>
              </w:rPr>
              <w:t>9</w:t>
            </w:r>
            <w:r>
              <w:rPr>
                <w:rFonts w:hint="eastAsia" w:ascii="方正仿宋_GBK" w:hAnsi="方正仿宋_GBK" w:eastAsia="方正仿宋_GBK" w:cs="方正仿宋_GBK"/>
                <w:sz w:val="24"/>
                <w:szCs w:val="24"/>
              </w:rPr>
              <w:t>）</w:t>
            </w:r>
          </w:p>
        </w:tc>
        <w:tc>
          <w:tcPr>
            <w:tcW w:w="2993" w:type="dxa"/>
            <w:noWrap w:val="0"/>
            <w:vAlign w:val="center"/>
          </w:tcPr>
          <w:p w14:paraId="0FCEA867">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40070</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c>
          <w:tcPr>
            <w:tcW w:w="3141" w:type="dxa"/>
            <w:noWrap w:val="0"/>
            <w:vAlign w:val="center"/>
          </w:tcPr>
          <w:p w14:paraId="0006219B">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40070</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r>
      <w:tr w14:paraId="67CA53C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31AC14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10</w:t>
            </w:r>
          </w:p>
        </w:tc>
        <w:tc>
          <w:tcPr>
            <w:tcW w:w="1246" w:type="pct"/>
            <w:gridSpan w:val="2"/>
            <w:noWrap w:val="0"/>
            <w:vAlign w:val="center"/>
          </w:tcPr>
          <w:p w14:paraId="6F8503BC">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视网膜蓝光危害</w:t>
            </w:r>
          </w:p>
        </w:tc>
        <w:tc>
          <w:tcPr>
            <w:tcW w:w="2993" w:type="dxa"/>
            <w:noWrap w:val="0"/>
            <w:vAlign w:val="center"/>
          </w:tcPr>
          <w:p w14:paraId="2BFE31F5">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40070</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c>
          <w:tcPr>
            <w:tcW w:w="3141" w:type="dxa"/>
            <w:noWrap w:val="0"/>
            <w:vAlign w:val="center"/>
          </w:tcPr>
          <w:p w14:paraId="07A4537D">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40070</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r>
      <w:tr w14:paraId="3D4E77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BC6706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11</w:t>
            </w:r>
          </w:p>
        </w:tc>
        <w:tc>
          <w:tcPr>
            <w:tcW w:w="1246" w:type="pct"/>
            <w:gridSpan w:val="2"/>
            <w:noWrap w:val="0"/>
            <w:vAlign w:val="center"/>
          </w:tcPr>
          <w:p w14:paraId="3560AA15">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波动深度</w:t>
            </w:r>
          </w:p>
        </w:tc>
        <w:tc>
          <w:tcPr>
            <w:tcW w:w="2993" w:type="dxa"/>
            <w:noWrap w:val="0"/>
            <w:vAlign w:val="center"/>
          </w:tcPr>
          <w:p w14:paraId="2FB10997">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40070</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c>
          <w:tcPr>
            <w:tcW w:w="3141" w:type="dxa"/>
            <w:noWrap w:val="0"/>
            <w:vAlign w:val="center"/>
          </w:tcPr>
          <w:p w14:paraId="30D535C4">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40070</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r>
      <w:tr w14:paraId="5423DD6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709C26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12</w:t>
            </w:r>
          </w:p>
        </w:tc>
        <w:tc>
          <w:tcPr>
            <w:tcW w:w="1246" w:type="pct"/>
            <w:gridSpan w:val="2"/>
            <w:noWrap w:val="0"/>
            <w:vAlign w:val="center"/>
          </w:tcPr>
          <w:p w14:paraId="62537D4D">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遮光性</w:t>
            </w:r>
          </w:p>
        </w:tc>
        <w:tc>
          <w:tcPr>
            <w:tcW w:w="2993" w:type="dxa"/>
            <w:noWrap w:val="0"/>
            <w:vAlign w:val="center"/>
          </w:tcPr>
          <w:p w14:paraId="7F145378">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9473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3141" w:type="dxa"/>
            <w:noWrap w:val="0"/>
            <w:vAlign w:val="center"/>
          </w:tcPr>
          <w:p w14:paraId="763A8AD1">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9473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7F1273C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FE2A09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13</w:t>
            </w:r>
          </w:p>
        </w:tc>
        <w:tc>
          <w:tcPr>
            <w:tcW w:w="1246" w:type="pct"/>
            <w:gridSpan w:val="2"/>
            <w:noWrap w:val="0"/>
            <w:vAlign w:val="center"/>
          </w:tcPr>
          <w:p w14:paraId="6EE959B9">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照度及照度均匀度</w:t>
            </w:r>
          </w:p>
        </w:tc>
        <w:tc>
          <w:tcPr>
            <w:tcW w:w="2993" w:type="dxa"/>
            <w:noWrap w:val="0"/>
            <w:vAlign w:val="center"/>
          </w:tcPr>
          <w:p w14:paraId="11E5B127">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9473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3141" w:type="dxa"/>
            <w:noWrap w:val="0"/>
            <w:vAlign w:val="center"/>
          </w:tcPr>
          <w:p w14:paraId="4B7E3418">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9473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bl>
    <w:p w14:paraId="36D0ED1E">
      <w:pPr>
        <w:jc w:val="center"/>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表</w:t>
      </w:r>
      <w:r>
        <w:rPr>
          <w:rFonts w:hint="eastAsia" w:ascii="Times New Roman" w:hAnsi="Times New Roman" w:eastAsia="方正仿宋_GBK" w:cs="Times New Roman"/>
          <w:sz w:val="24"/>
          <w:highlight w:val="none"/>
          <w:lang w:val="en-US" w:eastAsia="zh-CN"/>
        </w:rPr>
        <w:t>2读写台灯（除儿童青少年用读写作业台灯）</w:t>
      </w:r>
      <w:r>
        <w:rPr>
          <w:rFonts w:hint="default" w:ascii="Times New Roman" w:hAnsi="Times New Roman" w:eastAsia="方正仿宋_GBK" w:cs="Times New Roman"/>
          <w:sz w:val="24"/>
          <w:highlight w:val="none"/>
          <w:lang w:val="en-US" w:eastAsia="zh-CN"/>
        </w:rPr>
        <w:t>检验</w:t>
      </w:r>
      <w:r>
        <w:rPr>
          <w:rFonts w:hint="default" w:ascii="Times New Roman" w:hAnsi="Times New Roman" w:eastAsia="方正仿宋_GBK" w:cs="Times New Roman"/>
          <w:sz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1137"/>
        <w:gridCol w:w="1140"/>
        <w:gridCol w:w="2993"/>
        <w:gridCol w:w="3141"/>
      </w:tblGrid>
      <w:tr w14:paraId="5AD026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4FAA2FF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序号</w:t>
            </w:r>
          </w:p>
        </w:tc>
        <w:tc>
          <w:tcPr>
            <w:tcW w:w="1246" w:type="pct"/>
            <w:gridSpan w:val="2"/>
            <w:noWrap w:val="0"/>
            <w:vAlign w:val="center"/>
          </w:tcPr>
          <w:p w14:paraId="1F0BF0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检验项目</w:t>
            </w:r>
          </w:p>
        </w:tc>
        <w:tc>
          <w:tcPr>
            <w:tcW w:w="1638" w:type="pct"/>
            <w:noWrap w:val="0"/>
            <w:vAlign w:val="center"/>
          </w:tcPr>
          <w:p w14:paraId="17FDC85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检验依据</w:t>
            </w:r>
          </w:p>
        </w:tc>
        <w:tc>
          <w:tcPr>
            <w:tcW w:w="1719" w:type="pct"/>
            <w:noWrap w:val="0"/>
            <w:vAlign w:val="center"/>
          </w:tcPr>
          <w:p w14:paraId="614146D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检验</w:t>
            </w:r>
            <w:r>
              <w:rPr>
                <w:rFonts w:hint="eastAsia" w:ascii="方正仿宋_GBK" w:hAnsi="方正仿宋_GBK" w:eastAsia="方正仿宋_GBK" w:cs="方正仿宋_GBK"/>
                <w:sz w:val="24"/>
                <w:szCs w:val="24"/>
                <w:highlight w:val="none"/>
              </w:rPr>
              <w:t>检测方法</w:t>
            </w:r>
          </w:p>
        </w:tc>
      </w:tr>
      <w:tr w14:paraId="47C9AC5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restart"/>
            <w:noWrap w:val="0"/>
            <w:vAlign w:val="center"/>
          </w:tcPr>
          <w:p w14:paraId="360476D8">
            <w:pPr>
              <w:snapToGrid w:val="0"/>
              <w:spacing w:line="300" w:lineRule="exact"/>
              <w:jc w:val="center"/>
              <w:rPr>
                <w:rFonts w:hint="eastAsia" w:ascii="方正仿宋_GBK" w:hAnsi="方正仿宋_GBK" w:eastAsia="方正仿宋_GBK" w:cs="方正仿宋_GBK"/>
                <w:kern w:val="2"/>
                <w:sz w:val="24"/>
                <w:szCs w:val="24"/>
                <w:highlight w:val="none"/>
                <w:lang w:val="en-US" w:eastAsia="zh-CN" w:bidi="ar-SA"/>
              </w:rPr>
            </w:pPr>
            <w:r>
              <w:rPr>
                <w:rFonts w:hint="eastAsia" w:ascii="方正仿宋_GBK" w:hAnsi="方正仿宋_GBK" w:eastAsia="方正仿宋_GBK" w:cs="方正仿宋_GBK"/>
                <w:sz w:val="24"/>
                <w:szCs w:val="24"/>
                <w:lang w:val="en-US" w:eastAsia="zh-CN"/>
              </w:rPr>
              <w:t>1</w:t>
            </w:r>
          </w:p>
        </w:tc>
        <w:tc>
          <w:tcPr>
            <w:tcW w:w="622" w:type="pct"/>
            <w:vMerge w:val="restart"/>
            <w:noWrap w:val="0"/>
            <w:vAlign w:val="center"/>
          </w:tcPr>
          <w:p w14:paraId="27EC8056">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结构</w:t>
            </w:r>
          </w:p>
        </w:tc>
        <w:tc>
          <w:tcPr>
            <w:tcW w:w="623" w:type="pct"/>
            <w:noWrap w:val="0"/>
            <w:vAlign w:val="center"/>
          </w:tcPr>
          <w:p w14:paraId="74E48244">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走线槽</w:t>
            </w:r>
          </w:p>
        </w:tc>
        <w:tc>
          <w:tcPr>
            <w:tcW w:w="2993" w:type="dxa"/>
            <w:noWrap w:val="0"/>
            <w:vAlign w:val="center"/>
          </w:tcPr>
          <w:p w14:paraId="4B95759D">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27A1990C">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36CA274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260A234F">
            <w:pPr>
              <w:snapToGrid w:val="0"/>
              <w:spacing w:line="30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61CF02B0">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2DAD94B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1F1ABFC9">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486C3138">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27EC078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continue"/>
            <w:shd w:val="clear" w:color="auto" w:fill="auto"/>
            <w:noWrap w:val="0"/>
            <w:vAlign w:val="center"/>
          </w:tcPr>
          <w:p w14:paraId="3CEDA96D">
            <w:pPr>
              <w:snapToGrid w:val="0"/>
              <w:spacing w:line="300" w:lineRule="exact"/>
              <w:jc w:val="center"/>
              <w:rPr>
                <w:rFonts w:hint="eastAsia" w:ascii="方正仿宋_GBK" w:hAnsi="方正仿宋_GBK" w:eastAsia="方正仿宋_GBK" w:cs="方正仿宋_GBK"/>
                <w:kern w:val="2"/>
                <w:sz w:val="24"/>
                <w:szCs w:val="24"/>
                <w:highlight w:val="none"/>
                <w:lang w:val="en-US" w:eastAsia="zh-CN" w:bidi="ar-SA"/>
              </w:rPr>
            </w:pPr>
          </w:p>
        </w:tc>
        <w:tc>
          <w:tcPr>
            <w:tcW w:w="622" w:type="pct"/>
            <w:vMerge w:val="continue"/>
            <w:noWrap w:val="0"/>
            <w:vAlign w:val="center"/>
          </w:tcPr>
          <w:p w14:paraId="5DAA2C30">
            <w:pPr>
              <w:snapToGrid w:val="0"/>
              <w:spacing w:line="300" w:lineRule="exact"/>
              <w:jc w:val="center"/>
              <w:rPr>
                <w:rFonts w:hint="eastAsia" w:ascii="方正仿宋_GBK" w:hAnsi="方正仿宋_GBK" w:eastAsia="方正仿宋_GBK" w:cs="方正仿宋_GBK"/>
                <w:sz w:val="24"/>
                <w:szCs w:val="24"/>
                <w:highlight w:val="none"/>
              </w:rPr>
            </w:pPr>
          </w:p>
        </w:tc>
        <w:tc>
          <w:tcPr>
            <w:tcW w:w="623" w:type="pct"/>
            <w:noWrap w:val="0"/>
            <w:vAlign w:val="center"/>
          </w:tcPr>
          <w:p w14:paraId="0468ABA7">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带有不可替换光源的灯具</w:t>
            </w:r>
          </w:p>
        </w:tc>
        <w:tc>
          <w:tcPr>
            <w:tcW w:w="2993" w:type="dxa"/>
            <w:noWrap w:val="0"/>
            <w:vAlign w:val="center"/>
          </w:tcPr>
          <w:p w14:paraId="4E083CF4">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5F267BA4">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5EDC37A2">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256BF9C7">
            <w:pPr>
              <w:snapToGrid w:val="0"/>
              <w:spacing w:line="30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7D99EB72">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072259BA">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3347EF13">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5E7656B4">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24CAF7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continue"/>
            <w:noWrap w:val="0"/>
            <w:vAlign w:val="center"/>
          </w:tcPr>
          <w:p w14:paraId="30CB200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622" w:type="pct"/>
            <w:vMerge w:val="continue"/>
            <w:noWrap w:val="0"/>
            <w:vAlign w:val="center"/>
          </w:tcPr>
          <w:p w14:paraId="5A30CED3">
            <w:pPr>
              <w:snapToGrid w:val="0"/>
              <w:spacing w:line="300" w:lineRule="exact"/>
              <w:jc w:val="center"/>
              <w:rPr>
                <w:rFonts w:hint="eastAsia" w:ascii="方正仿宋_GBK" w:hAnsi="方正仿宋_GBK" w:eastAsia="方正仿宋_GBK" w:cs="方正仿宋_GBK"/>
                <w:sz w:val="24"/>
                <w:szCs w:val="24"/>
                <w:highlight w:val="none"/>
              </w:rPr>
            </w:pPr>
          </w:p>
        </w:tc>
        <w:tc>
          <w:tcPr>
            <w:tcW w:w="623" w:type="pct"/>
            <w:noWrap w:val="0"/>
            <w:vAlign w:val="center"/>
          </w:tcPr>
          <w:p w14:paraId="2465EF91">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带有非用户替换光源的灯具</w:t>
            </w:r>
          </w:p>
        </w:tc>
        <w:tc>
          <w:tcPr>
            <w:tcW w:w="2993" w:type="dxa"/>
            <w:noWrap w:val="0"/>
            <w:vAlign w:val="center"/>
          </w:tcPr>
          <w:p w14:paraId="51523475">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7DADE6E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6CECDBFD">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241262D5">
            <w:pPr>
              <w:snapToGrid w:val="0"/>
              <w:spacing w:line="30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259AD4E4">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2DDD2A18">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49136236">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38C15A93">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619E43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continue"/>
            <w:noWrap w:val="0"/>
            <w:vAlign w:val="center"/>
          </w:tcPr>
          <w:p w14:paraId="2E497E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622" w:type="pct"/>
            <w:vMerge w:val="continue"/>
            <w:noWrap w:val="0"/>
            <w:vAlign w:val="center"/>
          </w:tcPr>
          <w:p w14:paraId="3C0C553B">
            <w:pPr>
              <w:snapToGrid w:val="0"/>
              <w:spacing w:line="300" w:lineRule="exact"/>
              <w:jc w:val="center"/>
              <w:rPr>
                <w:rFonts w:hint="eastAsia" w:ascii="方正仿宋_GBK" w:hAnsi="方正仿宋_GBK" w:eastAsia="方正仿宋_GBK" w:cs="方正仿宋_GBK"/>
                <w:sz w:val="24"/>
                <w:szCs w:val="24"/>
                <w:highlight w:val="none"/>
              </w:rPr>
            </w:pPr>
          </w:p>
        </w:tc>
        <w:tc>
          <w:tcPr>
            <w:tcW w:w="623" w:type="pct"/>
            <w:noWrap w:val="0"/>
            <w:vAlign w:val="center"/>
          </w:tcPr>
          <w:p w14:paraId="78B21B7E">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视网膜蓝光危害</w:t>
            </w:r>
          </w:p>
        </w:tc>
        <w:tc>
          <w:tcPr>
            <w:tcW w:w="2993" w:type="dxa"/>
            <w:noWrap w:val="0"/>
            <w:vAlign w:val="center"/>
          </w:tcPr>
          <w:p w14:paraId="382C172B">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3C94524A">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607C6CE3">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1C2E85EA">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329B114A">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5E6E6C06">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13FAAC1E">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4013D798">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1237347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30" w:hRule="atLeast"/>
        </w:trPr>
        <w:tc>
          <w:tcPr>
            <w:tcW w:w="396" w:type="pct"/>
            <w:vMerge w:val="continue"/>
            <w:noWrap w:val="0"/>
            <w:vAlign w:val="center"/>
          </w:tcPr>
          <w:p w14:paraId="6504213A">
            <w:pPr>
              <w:snapToGrid w:val="0"/>
              <w:spacing w:line="300" w:lineRule="exact"/>
              <w:jc w:val="center"/>
              <w:rPr>
                <w:rFonts w:hint="eastAsia" w:ascii="方正仿宋_GBK" w:hAnsi="方正仿宋_GBK" w:eastAsia="方正仿宋_GBK" w:cs="方正仿宋_GBK"/>
                <w:sz w:val="24"/>
                <w:szCs w:val="24"/>
                <w:highlight w:val="none"/>
                <w:lang w:eastAsia="zh-CN"/>
              </w:rPr>
            </w:pPr>
          </w:p>
        </w:tc>
        <w:tc>
          <w:tcPr>
            <w:tcW w:w="622" w:type="pct"/>
            <w:vMerge w:val="continue"/>
            <w:noWrap w:val="0"/>
            <w:vAlign w:val="center"/>
          </w:tcPr>
          <w:p w14:paraId="3149D281">
            <w:pPr>
              <w:snapToGrid w:val="0"/>
              <w:spacing w:line="300" w:lineRule="exact"/>
              <w:jc w:val="center"/>
              <w:rPr>
                <w:rFonts w:hint="eastAsia" w:ascii="方正仿宋_GBK" w:hAnsi="方正仿宋_GBK" w:eastAsia="方正仿宋_GBK" w:cs="方正仿宋_GBK"/>
                <w:sz w:val="24"/>
                <w:szCs w:val="24"/>
                <w:highlight w:val="none"/>
              </w:rPr>
            </w:pPr>
          </w:p>
        </w:tc>
        <w:tc>
          <w:tcPr>
            <w:tcW w:w="623" w:type="pct"/>
            <w:noWrap w:val="0"/>
            <w:vAlign w:val="center"/>
          </w:tcPr>
          <w:p w14:paraId="53C9F0E9">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平稳度</w:t>
            </w:r>
          </w:p>
        </w:tc>
        <w:tc>
          <w:tcPr>
            <w:tcW w:w="2993" w:type="dxa"/>
            <w:noWrap w:val="0"/>
            <w:vAlign w:val="center"/>
          </w:tcPr>
          <w:p w14:paraId="3A395F2C">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06903E6E">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59E5DEF7">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6E946AEB">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684D0D9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restart"/>
            <w:noWrap w:val="0"/>
            <w:vAlign w:val="center"/>
          </w:tcPr>
          <w:p w14:paraId="45B6F46D">
            <w:pPr>
              <w:snapToGrid w:val="0"/>
              <w:spacing w:line="300" w:lineRule="exact"/>
              <w:jc w:val="center"/>
              <w:rPr>
                <w:rFonts w:hint="eastAsia" w:ascii="方正仿宋_GBK" w:hAnsi="方正仿宋_GBK" w:eastAsia="方正仿宋_GBK" w:cs="方正仿宋_GBK"/>
                <w:sz w:val="24"/>
                <w:szCs w:val="24"/>
                <w:highlight w:val="none"/>
                <w:lang w:eastAsia="zh-CN"/>
              </w:rPr>
            </w:pPr>
            <w:r>
              <w:rPr>
                <w:rFonts w:hint="eastAsia" w:ascii="方正仿宋_GBK" w:hAnsi="方正仿宋_GBK" w:eastAsia="方正仿宋_GBK" w:cs="方正仿宋_GBK"/>
                <w:sz w:val="24"/>
                <w:szCs w:val="24"/>
                <w:lang w:val="en-US" w:eastAsia="zh-CN"/>
              </w:rPr>
              <w:t>2</w:t>
            </w:r>
          </w:p>
        </w:tc>
        <w:tc>
          <w:tcPr>
            <w:tcW w:w="622" w:type="pct"/>
            <w:vMerge w:val="restart"/>
            <w:noWrap w:val="0"/>
            <w:vAlign w:val="center"/>
          </w:tcPr>
          <w:p w14:paraId="6D103A32">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外部接线和内部接线</w:t>
            </w:r>
          </w:p>
        </w:tc>
        <w:tc>
          <w:tcPr>
            <w:tcW w:w="623" w:type="pct"/>
            <w:noWrap w:val="0"/>
            <w:vAlign w:val="center"/>
          </w:tcPr>
          <w:p w14:paraId="64135248">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电源连接方法</w:t>
            </w:r>
          </w:p>
        </w:tc>
        <w:tc>
          <w:tcPr>
            <w:tcW w:w="2993" w:type="dxa"/>
            <w:noWrap w:val="0"/>
            <w:vAlign w:val="center"/>
          </w:tcPr>
          <w:p w14:paraId="1F8CC32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5AFAC6D8">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1C25EC9A">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09FED049">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5BDF09E7">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70336A42">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4B95F233">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24F3BA68">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6848868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continue"/>
            <w:noWrap w:val="0"/>
            <w:vAlign w:val="center"/>
          </w:tcPr>
          <w:p w14:paraId="4BB8916F">
            <w:pPr>
              <w:snapToGrid w:val="0"/>
              <w:spacing w:line="300" w:lineRule="exact"/>
              <w:jc w:val="center"/>
              <w:rPr>
                <w:rFonts w:hint="eastAsia" w:ascii="方正仿宋_GBK" w:hAnsi="方正仿宋_GBK" w:eastAsia="方正仿宋_GBK" w:cs="方正仿宋_GBK"/>
                <w:sz w:val="24"/>
                <w:szCs w:val="24"/>
                <w:highlight w:val="none"/>
                <w:lang w:eastAsia="zh-CN"/>
              </w:rPr>
            </w:pPr>
          </w:p>
        </w:tc>
        <w:tc>
          <w:tcPr>
            <w:tcW w:w="622" w:type="pct"/>
            <w:vMerge w:val="continue"/>
            <w:noWrap w:val="0"/>
            <w:vAlign w:val="center"/>
          </w:tcPr>
          <w:p w14:paraId="37ABDFEA">
            <w:pPr>
              <w:snapToGrid w:val="0"/>
              <w:spacing w:line="300" w:lineRule="exact"/>
              <w:jc w:val="center"/>
              <w:rPr>
                <w:rFonts w:hint="eastAsia" w:ascii="方正仿宋_GBK" w:hAnsi="方正仿宋_GBK" w:eastAsia="方正仿宋_GBK" w:cs="方正仿宋_GBK"/>
                <w:sz w:val="24"/>
                <w:szCs w:val="24"/>
                <w:highlight w:val="none"/>
              </w:rPr>
            </w:pPr>
          </w:p>
        </w:tc>
        <w:tc>
          <w:tcPr>
            <w:tcW w:w="623" w:type="pct"/>
            <w:noWrap w:val="0"/>
            <w:vAlign w:val="center"/>
          </w:tcPr>
          <w:p w14:paraId="06ADF9A0">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软线固定架</w:t>
            </w:r>
          </w:p>
        </w:tc>
        <w:tc>
          <w:tcPr>
            <w:tcW w:w="2993" w:type="dxa"/>
            <w:noWrap w:val="0"/>
            <w:vAlign w:val="center"/>
          </w:tcPr>
          <w:p w14:paraId="449C56ED">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30A18BA6">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675B028E">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15C9DA73">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382C900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3E14CA86">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685FE5FB">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66352908">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718736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44AE7972">
            <w:pPr>
              <w:snapToGrid w:val="0"/>
              <w:spacing w:line="300" w:lineRule="exact"/>
              <w:jc w:val="center"/>
              <w:rPr>
                <w:rFonts w:hint="eastAsia" w:ascii="方正仿宋_GBK" w:hAnsi="方正仿宋_GBK" w:eastAsia="方正仿宋_GBK" w:cs="方正仿宋_GBK"/>
                <w:sz w:val="24"/>
                <w:szCs w:val="24"/>
                <w:highlight w:val="none"/>
                <w:lang w:eastAsia="zh-CN"/>
              </w:rPr>
            </w:pPr>
            <w:r>
              <w:rPr>
                <w:rFonts w:hint="eastAsia" w:ascii="方正仿宋_GBK" w:hAnsi="方正仿宋_GBK" w:eastAsia="方正仿宋_GBK" w:cs="方正仿宋_GBK"/>
                <w:sz w:val="24"/>
                <w:szCs w:val="24"/>
                <w:lang w:val="en-US" w:eastAsia="zh-CN"/>
              </w:rPr>
              <w:t>3</w:t>
            </w:r>
          </w:p>
        </w:tc>
        <w:tc>
          <w:tcPr>
            <w:tcW w:w="1246" w:type="pct"/>
            <w:gridSpan w:val="2"/>
            <w:noWrap w:val="0"/>
            <w:vAlign w:val="center"/>
          </w:tcPr>
          <w:p w14:paraId="41EA9FE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防触电保护</w:t>
            </w:r>
          </w:p>
        </w:tc>
        <w:tc>
          <w:tcPr>
            <w:tcW w:w="2993" w:type="dxa"/>
            <w:noWrap w:val="0"/>
            <w:vAlign w:val="center"/>
          </w:tcPr>
          <w:p w14:paraId="00B9F41D">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4F1810EB">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68771FF6">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1FBD5EA3">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78BE24F8">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67697BEE">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64583F20">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2A826E92">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19D330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A1FABB9">
            <w:pPr>
              <w:snapToGrid w:val="0"/>
              <w:spacing w:line="300" w:lineRule="exact"/>
              <w:jc w:val="center"/>
              <w:rPr>
                <w:rFonts w:hint="eastAsia" w:ascii="方正仿宋_GBK" w:hAnsi="方正仿宋_GBK" w:eastAsia="方正仿宋_GBK" w:cs="方正仿宋_GBK"/>
                <w:sz w:val="24"/>
                <w:szCs w:val="24"/>
                <w:highlight w:val="none"/>
                <w:lang w:eastAsia="zh-CN"/>
              </w:rPr>
            </w:pPr>
            <w:r>
              <w:rPr>
                <w:rFonts w:hint="eastAsia" w:ascii="方正仿宋_GBK" w:hAnsi="方正仿宋_GBK" w:eastAsia="方正仿宋_GBK" w:cs="方正仿宋_GBK"/>
                <w:sz w:val="24"/>
                <w:szCs w:val="24"/>
                <w:lang w:val="en-US" w:eastAsia="zh-CN"/>
              </w:rPr>
              <w:t>4</w:t>
            </w:r>
          </w:p>
        </w:tc>
        <w:tc>
          <w:tcPr>
            <w:tcW w:w="622" w:type="pct"/>
            <w:noWrap w:val="0"/>
            <w:vAlign w:val="center"/>
          </w:tcPr>
          <w:p w14:paraId="03602A16">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耐久性试验和热试验</w:t>
            </w:r>
          </w:p>
        </w:tc>
        <w:tc>
          <w:tcPr>
            <w:tcW w:w="623" w:type="pct"/>
            <w:noWrap w:val="0"/>
            <w:vAlign w:val="center"/>
          </w:tcPr>
          <w:p w14:paraId="6205C4F0">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耐久性试验</w:t>
            </w:r>
          </w:p>
        </w:tc>
        <w:tc>
          <w:tcPr>
            <w:tcW w:w="2993" w:type="dxa"/>
            <w:noWrap w:val="0"/>
            <w:vAlign w:val="center"/>
          </w:tcPr>
          <w:p w14:paraId="221BC120">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05E0BD2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048CE959">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5593268B">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2F08865A">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6750639C">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55A5C722">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70528503">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0258B6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restart"/>
            <w:noWrap w:val="0"/>
            <w:vAlign w:val="center"/>
          </w:tcPr>
          <w:p w14:paraId="29493504">
            <w:pPr>
              <w:snapToGrid w:val="0"/>
              <w:spacing w:line="300" w:lineRule="exact"/>
              <w:jc w:val="center"/>
              <w:rPr>
                <w:rFonts w:hint="eastAsia" w:ascii="方正仿宋_GBK" w:hAnsi="方正仿宋_GBK" w:eastAsia="方正仿宋_GBK" w:cs="方正仿宋_GBK"/>
                <w:sz w:val="24"/>
                <w:szCs w:val="24"/>
                <w:highlight w:val="none"/>
                <w:lang w:eastAsia="zh-CN"/>
              </w:rPr>
            </w:pPr>
            <w:r>
              <w:rPr>
                <w:rFonts w:hint="eastAsia" w:ascii="方正仿宋_GBK" w:hAnsi="方正仿宋_GBK" w:eastAsia="方正仿宋_GBK" w:cs="方正仿宋_GBK"/>
                <w:sz w:val="24"/>
                <w:szCs w:val="24"/>
                <w:highlight w:val="none"/>
                <w:lang w:val="en-US" w:eastAsia="zh-CN"/>
              </w:rPr>
              <w:t>5</w:t>
            </w:r>
          </w:p>
        </w:tc>
        <w:tc>
          <w:tcPr>
            <w:tcW w:w="622" w:type="pct"/>
            <w:vMerge w:val="restart"/>
            <w:noWrap w:val="0"/>
            <w:vAlign w:val="center"/>
          </w:tcPr>
          <w:p w14:paraId="0C13D57A">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耐热、耐火和耐起痕</w:t>
            </w:r>
          </w:p>
        </w:tc>
        <w:tc>
          <w:tcPr>
            <w:tcW w:w="623" w:type="pct"/>
            <w:noWrap w:val="0"/>
            <w:vAlign w:val="center"/>
          </w:tcPr>
          <w:p w14:paraId="3966F105">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耐热</w:t>
            </w:r>
          </w:p>
        </w:tc>
        <w:tc>
          <w:tcPr>
            <w:tcW w:w="2993" w:type="dxa"/>
            <w:noWrap w:val="0"/>
            <w:vAlign w:val="center"/>
          </w:tcPr>
          <w:p w14:paraId="78D265E3">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36C3C779">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32D1260A">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3F898F0F">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4A71A01C">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08B5677F">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2BF67B15">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2B2D1979">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3F2062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vMerge w:val="continue"/>
            <w:noWrap w:val="0"/>
            <w:vAlign w:val="center"/>
          </w:tcPr>
          <w:p w14:paraId="2C50E0C1">
            <w:pPr>
              <w:snapToGrid w:val="0"/>
              <w:spacing w:line="300" w:lineRule="exact"/>
              <w:jc w:val="center"/>
              <w:rPr>
                <w:rFonts w:hint="eastAsia" w:ascii="方正仿宋_GBK" w:hAnsi="方正仿宋_GBK" w:eastAsia="方正仿宋_GBK" w:cs="方正仿宋_GBK"/>
                <w:sz w:val="24"/>
                <w:szCs w:val="24"/>
                <w:highlight w:val="none"/>
                <w:lang w:eastAsia="zh-CN"/>
              </w:rPr>
            </w:pPr>
          </w:p>
        </w:tc>
        <w:tc>
          <w:tcPr>
            <w:tcW w:w="622" w:type="pct"/>
            <w:vMerge w:val="continue"/>
            <w:noWrap w:val="0"/>
            <w:vAlign w:val="center"/>
          </w:tcPr>
          <w:p w14:paraId="490C584A">
            <w:pPr>
              <w:snapToGrid w:val="0"/>
              <w:spacing w:line="300" w:lineRule="exact"/>
              <w:jc w:val="center"/>
              <w:rPr>
                <w:rFonts w:hint="eastAsia" w:ascii="方正仿宋_GBK" w:hAnsi="方正仿宋_GBK" w:eastAsia="方正仿宋_GBK" w:cs="方正仿宋_GBK"/>
                <w:sz w:val="24"/>
                <w:szCs w:val="24"/>
                <w:highlight w:val="none"/>
              </w:rPr>
            </w:pPr>
          </w:p>
        </w:tc>
        <w:tc>
          <w:tcPr>
            <w:tcW w:w="623" w:type="pct"/>
            <w:noWrap w:val="0"/>
            <w:vAlign w:val="center"/>
          </w:tcPr>
          <w:p w14:paraId="0A4C34CC">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耐燃烧和防引燃</w:t>
            </w:r>
          </w:p>
        </w:tc>
        <w:tc>
          <w:tcPr>
            <w:tcW w:w="2993" w:type="dxa"/>
            <w:noWrap w:val="0"/>
            <w:vAlign w:val="center"/>
          </w:tcPr>
          <w:p w14:paraId="1FFA5050">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03111F90">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0E9D4DB9">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55A7CEBB">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c>
          <w:tcPr>
            <w:tcW w:w="3141" w:type="dxa"/>
            <w:noWrap w:val="0"/>
            <w:vAlign w:val="center"/>
          </w:tcPr>
          <w:p w14:paraId="73C5686A">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2015</w:t>
            </w:r>
          </w:p>
          <w:p w14:paraId="3EA5788D">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1C6DAB83">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7000.1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p w14:paraId="20B0170E">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7000.204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w:t>
            </w:r>
          </w:p>
        </w:tc>
      </w:tr>
      <w:tr w14:paraId="4A99B42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4CDE1DD2">
            <w:pPr>
              <w:snapToGrid w:val="0"/>
              <w:spacing w:line="30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lang w:val="en-US" w:eastAsia="zh-CN"/>
              </w:rPr>
              <w:t>6</w:t>
            </w:r>
          </w:p>
        </w:tc>
        <w:tc>
          <w:tcPr>
            <w:tcW w:w="1246" w:type="pct"/>
            <w:gridSpan w:val="2"/>
            <w:noWrap w:val="0"/>
            <w:vAlign w:val="center"/>
          </w:tcPr>
          <w:p w14:paraId="4E866761">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骚扰电压（电源接口）</w:t>
            </w:r>
          </w:p>
        </w:tc>
        <w:tc>
          <w:tcPr>
            <w:tcW w:w="2993" w:type="dxa"/>
            <w:noWrap w:val="0"/>
            <w:vAlign w:val="center"/>
          </w:tcPr>
          <w:p w14:paraId="079B916C">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17743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c>
          <w:tcPr>
            <w:tcW w:w="3141" w:type="dxa"/>
            <w:noWrap w:val="0"/>
            <w:vAlign w:val="center"/>
          </w:tcPr>
          <w:p w14:paraId="64CBE517">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17743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r>
      <w:tr w14:paraId="6CA65B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41FCF6FB">
            <w:pPr>
              <w:snapToGrid w:val="0"/>
              <w:spacing w:line="30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lang w:val="en-US" w:eastAsia="zh-CN"/>
              </w:rPr>
              <w:t>7</w:t>
            </w:r>
          </w:p>
        </w:tc>
        <w:tc>
          <w:tcPr>
            <w:tcW w:w="1246" w:type="pct"/>
            <w:gridSpan w:val="2"/>
            <w:noWrap w:val="0"/>
            <w:vAlign w:val="center"/>
          </w:tcPr>
          <w:p w14:paraId="1F6FDF95">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辐射骚扰（30MHz~1GHz）</w:t>
            </w:r>
          </w:p>
        </w:tc>
        <w:tc>
          <w:tcPr>
            <w:tcW w:w="2993" w:type="dxa"/>
            <w:noWrap w:val="0"/>
            <w:vAlign w:val="center"/>
          </w:tcPr>
          <w:p w14:paraId="6805E3DD">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17743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c>
          <w:tcPr>
            <w:tcW w:w="3141" w:type="dxa"/>
            <w:noWrap w:val="0"/>
            <w:vAlign w:val="center"/>
          </w:tcPr>
          <w:p w14:paraId="64247FC9">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17743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2021</w:t>
            </w:r>
          </w:p>
        </w:tc>
      </w:tr>
      <w:tr w14:paraId="38FEE59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2267F08">
            <w:pPr>
              <w:snapToGrid w:val="0"/>
              <w:spacing w:line="30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lang w:val="en-US" w:eastAsia="zh-CN"/>
              </w:rPr>
              <w:t>8</w:t>
            </w:r>
          </w:p>
        </w:tc>
        <w:tc>
          <w:tcPr>
            <w:tcW w:w="1246" w:type="pct"/>
            <w:gridSpan w:val="2"/>
            <w:noWrap w:val="0"/>
            <w:vAlign w:val="center"/>
          </w:tcPr>
          <w:p w14:paraId="559D856A">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谐波电流</w:t>
            </w:r>
          </w:p>
        </w:tc>
        <w:tc>
          <w:tcPr>
            <w:tcW w:w="2993" w:type="dxa"/>
            <w:noWrap w:val="0"/>
            <w:vAlign w:val="center"/>
          </w:tcPr>
          <w:p w14:paraId="2A9DCE80">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17625.1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3141" w:type="dxa"/>
            <w:noWrap w:val="0"/>
            <w:vAlign w:val="center"/>
          </w:tcPr>
          <w:p w14:paraId="463B2524">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17625.1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232504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055F267">
            <w:pPr>
              <w:snapToGrid w:val="0"/>
              <w:spacing w:line="30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lang w:val="en-US" w:eastAsia="zh-CN"/>
              </w:rPr>
              <w:t>9</w:t>
            </w:r>
          </w:p>
        </w:tc>
        <w:tc>
          <w:tcPr>
            <w:tcW w:w="1246" w:type="pct"/>
            <w:gridSpan w:val="2"/>
            <w:noWrap w:val="0"/>
            <w:vAlign w:val="center"/>
          </w:tcPr>
          <w:p w14:paraId="06D694E2">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显色性</w:t>
            </w:r>
          </w:p>
        </w:tc>
        <w:tc>
          <w:tcPr>
            <w:tcW w:w="2993" w:type="dxa"/>
            <w:noWrap w:val="0"/>
            <w:vAlign w:val="center"/>
          </w:tcPr>
          <w:p w14:paraId="423B0AF3">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9473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3141" w:type="dxa"/>
            <w:noWrap w:val="0"/>
            <w:vAlign w:val="center"/>
          </w:tcPr>
          <w:p w14:paraId="718ECE28">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9473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23009E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34CA05F">
            <w:pPr>
              <w:snapToGrid w:val="0"/>
              <w:spacing w:line="30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lang w:val="en-US" w:eastAsia="zh-CN"/>
              </w:rPr>
              <w:t>10</w:t>
            </w:r>
          </w:p>
        </w:tc>
        <w:tc>
          <w:tcPr>
            <w:tcW w:w="1246" w:type="pct"/>
            <w:gridSpan w:val="2"/>
            <w:noWrap w:val="0"/>
            <w:vAlign w:val="center"/>
          </w:tcPr>
          <w:p w14:paraId="641D2A2C">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波动深度和瞬态光伪像</w:t>
            </w:r>
          </w:p>
        </w:tc>
        <w:tc>
          <w:tcPr>
            <w:tcW w:w="2993" w:type="dxa"/>
            <w:noWrap w:val="0"/>
            <w:vAlign w:val="center"/>
          </w:tcPr>
          <w:p w14:paraId="761BFA8C">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9473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3141" w:type="dxa"/>
            <w:noWrap w:val="0"/>
            <w:vAlign w:val="center"/>
          </w:tcPr>
          <w:p w14:paraId="66C49EE8">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9473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325D7E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9C70DAA">
            <w:pPr>
              <w:snapToGrid w:val="0"/>
              <w:spacing w:line="30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rPr>
              <w:t>1</w:t>
            </w:r>
            <w:r>
              <w:rPr>
                <w:rFonts w:hint="eastAsia" w:ascii="方正仿宋_GBK" w:hAnsi="方正仿宋_GBK" w:eastAsia="方正仿宋_GBK" w:cs="方正仿宋_GBK"/>
                <w:sz w:val="24"/>
                <w:szCs w:val="24"/>
                <w:lang w:val="en-US" w:eastAsia="zh-CN"/>
              </w:rPr>
              <w:t>1</w:t>
            </w:r>
          </w:p>
        </w:tc>
        <w:tc>
          <w:tcPr>
            <w:tcW w:w="1246" w:type="pct"/>
            <w:gridSpan w:val="2"/>
            <w:noWrap w:val="0"/>
            <w:vAlign w:val="center"/>
          </w:tcPr>
          <w:p w14:paraId="52C1A06B">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遮光性和防眩光</w:t>
            </w:r>
          </w:p>
        </w:tc>
        <w:tc>
          <w:tcPr>
            <w:tcW w:w="2993" w:type="dxa"/>
            <w:noWrap w:val="0"/>
            <w:vAlign w:val="center"/>
          </w:tcPr>
          <w:p w14:paraId="1F9FEEDD">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9473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3141" w:type="dxa"/>
            <w:noWrap w:val="0"/>
            <w:vAlign w:val="center"/>
          </w:tcPr>
          <w:p w14:paraId="7E460CF9">
            <w:pPr>
              <w:snapToGrid w:val="0"/>
              <w:spacing w:line="300" w:lineRule="exact"/>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9473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6075B9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2E1E2EC">
            <w:pPr>
              <w:snapToGrid w:val="0"/>
              <w:spacing w:line="300" w:lineRule="exact"/>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lang w:val="en-US" w:eastAsia="zh-CN"/>
              </w:rPr>
              <w:t>12</w:t>
            </w:r>
          </w:p>
        </w:tc>
        <w:tc>
          <w:tcPr>
            <w:tcW w:w="1246" w:type="pct"/>
            <w:gridSpan w:val="2"/>
            <w:noWrap w:val="0"/>
            <w:vAlign w:val="center"/>
          </w:tcPr>
          <w:p w14:paraId="41D62EB7">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照度及照度均匀度</w:t>
            </w:r>
          </w:p>
        </w:tc>
        <w:tc>
          <w:tcPr>
            <w:tcW w:w="2993" w:type="dxa"/>
            <w:noWrap w:val="0"/>
            <w:vAlign w:val="center"/>
          </w:tcPr>
          <w:p w14:paraId="3E52C938">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9473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3141" w:type="dxa"/>
            <w:noWrap w:val="0"/>
            <w:vAlign w:val="center"/>
          </w:tcPr>
          <w:p w14:paraId="46633B75">
            <w:pPr>
              <w:snapToGrid w:val="0"/>
              <w:spacing w:line="30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9473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bl>
    <w:p w14:paraId="50D77E33">
      <w:pPr>
        <w:spacing w:line="580" w:lineRule="exact"/>
        <w:ind w:firstLine="560"/>
        <w:rPr>
          <w:rFonts w:hint="default" w:ascii="Times New Roman" w:hAnsi="Times New Roman" w:eastAsia="方正仿宋_GBK" w:cs="Times New Roman"/>
          <w:color w:val="000000"/>
          <w:sz w:val="32"/>
          <w:szCs w:val="32"/>
          <w:highlight w:val="none"/>
        </w:rPr>
      </w:pPr>
      <w:r>
        <w:rPr>
          <w:rFonts w:hint="default" w:ascii="Times New Roman" w:hAnsi="Times New Roman" w:eastAsia="方正仿宋_GBK" w:cs="Times New Roman"/>
          <w:color w:val="000000"/>
          <w:sz w:val="32"/>
          <w:szCs w:val="32"/>
          <w:highlight w:val="none"/>
        </w:rPr>
        <w:t>检验方法包括相关产品标准及试验方法标准。</w:t>
      </w:r>
    </w:p>
    <w:p w14:paraId="120B8B91">
      <w:pPr>
        <w:spacing w:line="580" w:lineRule="exact"/>
        <w:ind w:firstLine="560"/>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rPr>
        <w:t>凡是注日期的文件，其随后所有的修改单（不包括勘误的内容）或修订版不适用于本细则。凡是不注日期的文件，其最新版本适用于本细则。</w:t>
      </w:r>
    </w:p>
    <w:p w14:paraId="4B02DD7A">
      <w:pPr>
        <w:spacing w:line="600" w:lineRule="exact"/>
        <w:ind w:firstLine="640" w:firstLineChars="200"/>
        <w:outlineLvl w:val="0"/>
        <w:rPr>
          <w:rFonts w:hint="default" w:ascii="Times New Roman" w:hAnsi="Times New Roman" w:eastAsia="方正仿宋_GBK" w:cs="Times New Roman"/>
          <w:color w:val="000000"/>
          <w:kern w:val="0"/>
          <w:sz w:val="32"/>
          <w:szCs w:val="32"/>
          <w:shd w:val="clear" w:color="auto" w:fill="FFFFFF"/>
          <w:lang w:bidi="ar"/>
        </w:rPr>
      </w:pPr>
      <w:r>
        <w:rPr>
          <w:rFonts w:hint="default" w:ascii="Times New Roman" w:hAnsi="Times New Roman" w:eastAsia="黑体" w:cs="Times New Roman"/>
          <w:bCs/>
          <w:color w:val="000000"/>
          <w:sz w:val="32"/>
          <w:szCs w:val="32"/>
        </w:rPr>
        <w:t>4.判定规则</w:t>
      </w:r>
    </w:p>
    <w:p w14:paraId="67CE400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4.1</w:t>
      </w:r>
      <w:r>
        <w:rPr>
          <w:rFonts w:hint="default" w:ascii="Times New Roman" w:hAnsi="Times New Roman" w:eastAsia="方正仿宋_GBK" w:cs="Times New Roman"/>
          <w:b/>
          <w:bCs/>
          <w:color w:val="000000"/>
          <w:sz w:val="32"/>
          <w:szCs w:val="32"/>
        </w:rPr>
        <w:t>依据标准</w:t>
      </w:r>
    </w:p>
    <w:p w14:paraId="15EF339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 xml:space="preserve">GB </w:t>
      </w:r>
      <w:r>
        <w:rPr>
          <w:rFonts w:hint="eastAsia" w:ascii="Times New Roman" w:hAnsi="Times New Roman" w:eastAsia="方正仿宋_GBK" w:cs="Times New Roman"/>
          <w:color w:val="000000"/>
          <w:sz w:val="32"/>
          <w:szCs w:val="32"/>
          <w:lang w:val="en-US" w:eastAsia="zh-CN"/>
        </w:rPr>
        <w:t>7000</w:t>
      </w:r>
      <w:r>
        <w:rPr>
          <w:rFonts w:hint="eastAsia" w:ascii="Times New Roman" w:hAnsi="Times New Roman" w:eastAsia="方正仿宋_GBK" w:cs="Times New Roman"/>
          <w:color w:val="000000"/>
          <w:sz w:val="32"/>
          <w:szCs w:val="32"/>
        </w:rPr>
        <w:t>.1-20</w:t>
      </w:r>
      <w:r>
        <w:rPr>
          <w:rFonts w:hint="eastAsia" w:ascii="Times New Roman" w:hAnsi="Times New Roman" w:eastAsia="方正仿宋_GBK" w:cs="Times New Roman"/>
          <w:color w:val="000000"/>
          <w:sz w:val="32"/>
          <w:szCs w:val="32"/>
          <w:lang w:val="en-US" w:eastAsia="zh-CN"/>
        </w:rPr>
        <w:t>15</w:t>
      </w:r>
      <w:r>
        <w:rPr>
          <w:rFonts w:hint="eastAsia" w:ascii="Times New Roman" w:hAnsi="Times New Roman" w:eastAsia="方正仿宋_GBK" w:cs="Times New Roman"/>
          <w:color w:val="000000"/>
          <w:sz w:val="32"/>
          <w:szCs w:val="32"/>
        </w:rPr>
        <w:t>《灯具 第1部分：一般要求与试验》</w:t>
      </w:r>
    </w:p>
    <w:p w14:paraId="085D109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 7000.204</w:t>
      </w:r>
      <w:r>
        <w:rPr>
          <w:rFonts w:hint="eastAsia" w:ascii="Times New Roman" w:hAnsi="Times New Roman" w:eastAsia="方正仿宋_GBK" w:cs="Times New Roman"/>
          <w:color w:val="000000"/>
          <w:sz w:val="32"/>
          <w:szCs w:val="32"/>
          <w:lang w:val="en-US" w:eastAsia="zh-CN"/>
        </w:rPr>
        <w:t>-2008</w:t>
      </w:r>
      <w:r>
        <w:rPr>
          <w:rFonts w:hint="eastAsia" w:ascii="Times New Roman" w:hAnsi="Times New Roman" w:eastAsia="方正仿宋_GBK" w:cs="Times New Roman"/>
          <w:color w:val="000000"/>
          <w:sz w:val="32"/>
          <w:szCs w:val="32"/>
        </w:rPr>
        <w:t>《灯具 第2-4部分：特殊要求 可移式通用灯具》</w:t>
      </w:r>
    </w:p>
    <w:p w14:paraId="11F579A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color w:val="000000"/>
          <w:sz w:val="32"/>
          <w:szCs w:val="32"/>
        </w:rPr>
        <w:t>GB/T 7000.1</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2023</w:t>
      </w:r>
      <w:r>
        <w:rPr>
          <w:rFonts w:hint="eastAsia" w:ascii="Times New Roman" w:hAnsi="Times New Roman" w:eastAsia="方正仿宋_GBK" w:cs="Times New Roman"/>
          <w:color w:val="000000"/>
          <w:sz w:val="32"/>
          <w:szCs w:val="32"/>
          <w:lang w:eastAsia="zh-CN"/>
        </w:rPr>
        <w:t>《灯具 第1部分：一般要求与试验》</w:t>
      </w:r>
    </w:p>
    <w:p w14:paraId="254EB50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color w:val="000000"/>
          <w:sz w:val="32"/>
          <w:szCs w:val="32"/>
        </w:rPr>
        <w:t>GB/T 7000.204</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2023</w:t>
      </w:r>
      <w:r>
        <w:rPr>
          <w:rFonts w:hint="eastAsia" w:ascii="Times New Roman" w:hAnsi="Times New Roman" w:eastAsia="方正仿宋_GBK" w:cs="Times New Roman"/>
          <w:color w:val="000000"/>
          <w:sz w:val="32"/>
          <w:szCs w:val="32"/>
          <w:lang w:eastAsia="zh-CN"/>
        </w:rPr>
        <w:t>《灯具 第2-4部分：特殊要求 可移式通用灯具》</w:t>
      </w:r>
    </w:p>
    <w:p w14:paraId="551630C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color w:val="000000"/>
          <w:sz w:val="32"/>
          <w:szCs w:val="32"/>
        </w:rPr>
        <w:t>GB/T 17743</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2021</w:t>
      </w:r>
      <w:r>
        <w:rPr>
          <w:rFonts w:hint="eastAsia" w:ascii="Times New Roman" w:hAnsi="Times New Roman" w:eastAsia="方正仿宋_GBK" w:cs="Times New Roman"/>
          <w:color w:val="000000"/>
          <w:sz w:val="32"/>
          <w:szCs w:val="32"/>
          <w:lang w:eastAsia="zh-CN"/>
        </w:rPr>
        <w:t>《电气照明和类似设备的无线电骚扰特性的限值和测量方法》</w:t>
      </w:r>
    </w:p>
    <w:p w14:paraId="2BF46A8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color w:val="000000"/>
          <w:sz w:val="32"/>
          <w:szCs w:val="32"/>
        </w:rPr>
        <w:t>GB/T 9473</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2022</w:t>
      </w:r>
      <w:r>
        <w:rPr>
          <w:rFonts w:hint="eastAsia" w:ascii="Times New Roman" w:hAnsi="Times New Roman" w:eastAsia="方正仿宋_GBK" w:cs="Times New Roman"/>
          <w:color w:val="000000"/>
          <w:sz w:val="32"/>
          <w:szCs w:val="32"/>
          <w:lang w:eastAsia="zh-CN"/>
        </w:rPr>
        <w:t>《读写作业台灯性能要求》</w:t>
      </w:r>
    </w:p>
    <w:p w14:paraId="424B47B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现行有效的企业标准、团体标准、地方标准及产品明示质量要求</w:t>
      </w:r>
    </w:p>
    <w:p w14:paraId="3ECC2E83">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0"/>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4.2</w:t>
      </w:r>
      <w:r>
        <w:rPr>
          <w:rFonts w:hint="default" w:ascii="Times New Roman" w:hAnsi="Times New Roman" w:eastAsia="方正仿宋_GBK" w:cs="Times New Roman"/>
          <w:b/>
          <w:bCs/>
          <w:color w:val="000000"/>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经检验，检验项目全部合格，判定为被抽查产品所检项目未发现不合格；检验项目中任一项或一项以上不合格，判定为被抽查产品不合格。</w:t>
      </w:r>
    </w:p>
    <w:p w14:paraId="7BDEFCB1">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若被检产品明示的质量要求高于本细则中检验项目依据的标准要求时，应按被检产品明示的质量要求判定。</w:t>
      </w:r>
    </w:p>
    <w:p w14:paraId="44705C9C">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若被检产品明示的质量要求低于本细则中检验项目依据的强制性标准要求时，应按照强制性标准要求判定。</w:t>
      </w:r>
    </w:p>
    <w:p w14:paraId="3E5EF6EF">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若被检产品明示的质量要求低于或包含本细则中检验项目依据的推荐性标准要求时，应以被检产品明示的质量要求判定，但应在检验报告备注中进行说明。</w:t>
      </w:r>
    </w:p>
    <w:p w14:paraId="11DC3396">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若被检产品明示的质量要求缺少本细则中检验项目依据的强制性标准要求时，应按照强制性标准要求判定。</w:t>
      </w:r>
    </w:p>
    <w:p w14:paraId="4BE7C60A">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若被检产品明示的质量要求缺少本细则中检验项目依据的推荐性标准要求时，该项目不参与判定，但应在检验报告备注中进行说明。</w:t>
      </w:r>
    </w:p>
    <w:p w14:paraId="72FB4824">
      <w:pPr>
        <w:spacing w:line="600" w:lineRule="exact"/>
        <w:ind w:firstLine="640" w:firstLineChars="200"/>
        <w:outlineLvl w:val="0"/>
        <w:rPr>
          <w:rFonts w:hint="default" w:ascii="Times New Roman" w:hAnsi="Times New Roman" w:eastAsia="黑体" w:cs="Times New Roman"/>
          <w:bCs/>
          <w:color w:val="000000"/>
          <w:sz w:val="32"/>
          <w:szCs w:val="32"/>
        </w:rPr>
      </w:pPr>
      <w:r>
        <w:rPr>
          <w:rFonts w:hint="default" w:ascii="Times New Roman" w:hAnsi="Times New Roman" w:eastAsia="黑体" w:cs="Times New Roman"/>
          <w:bCs/>
          <w:color w:val="000000"/>
          <w:sz w:val="32"/>
          <w:szCs w:val="32"/>
        </w:rPr>
        <w:t>5.异议处理</w:t>
      </w:r>
    </w:p>
    <w:p w14:paraId="0787D69D">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5.1对监督抽查程序有异议的，由任务下达部门核查相关证据后维持或者撤销原检验结果。</w:t>
      </w:r>
    </w:p>
    <w:p w14:paraId="1E18B005">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0F62680">
      <w:pPr>
        <w:spacing w:line="580" w:lineRule="exact"/>
        <w:ind w:firstLine="640" w:firstLineChars="200"/>
        <w:rPr>
          <w:rFonts w:hint="default" w:ascii="Times New Roman" w:hAnsi="Times New Roman" w:eastAsia="方正仿宋_GBK" w:cs="Times New Roman"/>
          <w:strike/>
          <w:color w:val="000000"/>
          <w:kern w:val="2"/>
          <w:sz w:val="32"/>
          <w:szCs w:val="32"/>
        </w:rPr>
      </w:pPr>
      <w:r>
        <w:rPr>
          <w:rFonts w:hint="default" w:ascii="Times New Roman" w:hAnsi="Times New Roman" w:eastAsia="方正仿宋_GBK" w:cs="Times New Roman"/>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4D28CF-B9CD-4B79-8904-C8758BCCAD8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6C70805D-FEC8-49CA-AAAB-B099EE8E9ED4}"/>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F47C93AC-36AE-4879-AF96-D26FFA8515E1}"/>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9E79B701-65F1-4CDF-B4C6-8CEC781B762A}"/>
  </w:font>
  <w:font w:name="方正黑体_GBK">
    <w:panose1 w:val="02000000000000000000"/>
    <w:charset w:val="86"/>
    <w:family w:val="script"/>
    <w:pitch w:val="default"/>
    <w:sig w:usb0="A00002BF" w:usb1="38CF7CFA" w:usb2="00082016" w:usb3="00000000" w:csb0="00040001" w:csb1="00000000"/>
    <w:embedRegular r:id="rId5" w:fontKey="{1BB12078-5D31-4905-B464-A9A16CA0610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8E681D"/>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81660F"/>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2C1F87"/>
    <w:rsid w:val="229175B6"/>
    <w:rsid w:val="22947508"/>
    <w:rsid w:val="22F96045"/>
    <w:rsid w:val="235B4756"/>
    <w:rsid w:val="23E95402"/>
    <w:rsid w:val="2419770F"/>
    <w:rsid w:val="24850715"/>
    <w:rsid w:val="24CC3C09"/>
    <w:rsid w:val="24E0639B"/>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09E20F6"/>
    <w:rsid w:val="31235BF9"/>
    <w:rsid w:val="31607A94"/>
    <w:rsid w:val="31C50242"/>
    <w:rsid w:val="325469A5"/>
    <w:rsid w:val="326B5648"/>
    <w:rsid w:val="32975988"/>
    <w:rsid w:val="32F44C3D"/>
    <w:rsid w:val="34D668DD"/>
    <w:rsid w:val="35137250"/>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30876D0"/>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0E2B0A"/>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AF6790"/>
    <w:rsid w:val="58B84658"/>
    <w:rsid w:val="590234F2"/>
    <w:rsid w:val="594A04F0"/>
    <w:rsid w:val="597A213B"/>
    <w:rsid w:val="59920975"/>
    <w:rsid w:val="59B3074A"/>
    <w:rsid w:val="59BB4699"/>
    <w:rsid w:val="5A283D64"/>
    <w:rsid w:val="5A4022F8"/>
    <w:rsid w:val="5AFA12CC"/>
    <w:rsid w:val="5B0603A1"/>
    <w:rsid w:val="5B775815"/>
    <w:rsid w:val="5B7C49F8"/>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7EF798F"/>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qFormat/>
    <w:uiPriority w:val="0"/>
  </w:style>
  <w:style w:type="table" w:default="1" w:styleId="48">
    <w:name w:val="Normal Table"/>
    <w:semiHidden/>
    <w:qFormat/>
    <w:uiPriority w:val="0"/>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ind w:left="0" w:right="0"/>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2"/>
    <w:qFormat/>
    <w:uiPriority w:val="0"/>
    <w:rPr>
      <w:rFonts w:ascii="Courier New" w:hAnsi="Courier New"/>
      <w:lang w:val="en-US" w:eastAsia="zh-CN" w:bidi="ar-SA"/>
    </w:rPr>
  </w:style>
  <w:style w:type="character" w:customStyle="1" w:styleId="66">
    <w:name w:val="标题 1 Char"/>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4"/>
    <w:qFormat/>
    <w:uiPriority w:val="99"/>
    <w:rPr>
      <w:rFonts w:ascii="Cambria" w:hAnsi="Cambria" w:eastAsia="宋体"/>
      <w:b/>
      <w:bCs/>
      <w:kern w:val="2"/>
      <w:sz w:val="32"/>
      <w:szCs w:val="32"/>
      <w:lang w:val="en-US" w:eastAsia="zh-CN" w:bidi="ar-SA"/>
    </w:rPr>
  </w:style>
  <w:style w:type="character" w:customStyle="1" w:styleId="68">
    <w:name w:val="标题 3 Char"/>
    <w:basedOn w:val="50"/>
    <w:link w:val="5"/>
    <w:qFormat/>
    <w:uiPriority w:val="99"/>
    <w:rPr>
      <w:rFonts w:eastAsia="宋体"/>
      <w:b/>
      <w:bCs/>
      <w:kern w:val="2"/>
      <w:sz w:val="30"/>
      <w:szCs w:val="32"/>
      <w:lang w:val="en-US" w:eastAsia="zh-CN" w:bidi="ar-SA"/>
    </w:rPr>
  </w:style>
  <w:style w:type="character" w:customStyle="1" w:styleId="69">
    <w:name w:val="标题 4 Char"/>
    <w:basedOn w:val="50"/>
    <w:link w:val="6"/>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eastAsia="宋体" w:cs="宋体"/>
      <w:lang w:val="zh-CN" w:eastAsia="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 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692</Words>
  <Characters>1989</Characters>
  <Lines>66</Lines>
  <Paragraphs>18</Paragraphs>
  <TotalTime>2</TotalTime>
  <ScaleCrop>false</ScaleCrop>
  <LinksUpToDate>false</LinksUpToDate>
  <CharactersWithSpaces>2090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魔术豆</cp:lastModifiedBy>
  <cp:lastPrinted>2022-06-23T01:03:00Z</cp:lastPrinted>
  <dcterms:modified xsi:type="dcterms:W3CDTF">2026-04-22T07:44:31Z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eyJoZGlkIjoiMmYzMzdhYTc0NjkyM2M2MjQ5Njk4M2VlMWU2MTMxMmIiLCJ1c2VySWQiOiIxMDY3OTk2ODgzIn0=</vt:lpwstr>
  </property>
</Properties>
</file>