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42761">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rPr>
        <w:t>昆山</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rPr>
        <w:t>电磁灶</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4A2B9BE3">
      <w:pPr>
        <w:pStyle w:val="64"/>
      </w:pPr>
    </w:p>
    <w:p w14:paraId="2EB3B9EC">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2AB9507C">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rPr>
        <w:t>昆山</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rPr>
        <w:t>电磁灶</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33BC2B3A">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7D14AD76">
      <w:pPr>
        <w:spacing w:line="580" w:lineRule="exact"/>
        <w:ind w:firstLine="643" w:firstLineChars="200"/>
        <w:rPr>
          <w:rFonts w:ascii="Times New Roman" w:hAnsi="Times New Roman" w:eastAsia="方正仿宋_GBK"/>
          <w:b/>
          <w:bCs/>
          <w:sz w:val="32"/>
          <w:szCs w:val="32"/>
        </w:rPr>
      </w:pPr>
      <w:r>
        <w:rPr>
          <w:rFonts w:ascii="Times New Roman" w:hAnsi="Times New Roman" w:eastAsia="方正仿宋_GBK"/>
          <w:b/>
          <w:bCs/>
          <w:sz w:val="32"/>
          <w:szCs w:val="32"/>
        </w:rPr>
        <w:t>2.1生产企业、实体店抽样</w:t>
      </w:r>
    </w:p>
    <w:p w14:paraId="3AF866D1">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w:t>
      </w:r>
      <w:r>
        <w:rPr>
          <w:rFonts w:ascii="Times New Roman" w:hAnsi="Times New Roman" w:eastAsia="方正仿宋_GBK"/>
          <w:color w:val="000000"/>
          <w:kern w:val="0"/>
          <w:sz w:val="32"/>
          <w:szCs w:val="32"/>
          <w:shd w:val="clear" w:color="auto" w:fill="FFFFFF"/>
        </w:rPr>
        <w:t>抽样过程均需拍照留证。一经抽样，立即封样，任何人不得调换。</w:t>
      </w:r>
    </w:p>
    <w:p w14:paraId="52C3C054">
      <w:pPr>
        <w:spacing w:line="580" w:lineRule="exact"/>
        <w:ind w:firstLine="643" w:firstLineChars="200"/>
        <w:outlineLvl w:val="0"/>
        <w:rPr>
          <w:rFonts w:ascii="Times New Roman" w:hAnsi="Times New Roman" w:eastAsia="方正仿宋_GBK"/>
          <w:bCs/>
          <w:color w:val="000000"/>
          <w:kern w:val="0"/>
          <w:sz w:val="32"/>
          <w:szCs w:val="32"/>
          <w:shd w:val="clear" w:color="auto" w:fill="FFFFFF"/>
        </w:rPr>
      </w:pPr>
      <w:r>
        <w:rPr>
          <w:rFonts w:ascii="Times New Roman" w:hAnsi="Times New Roman" w:eastAsia="方正仿宋_GBK"/>
          <w:b/>
          <w:color w:val="000000"/>
          <w:kern w:val="0"/>
          <w:sz w:val="32"/>
          <w:szCs w:val="32"/>
          <w:shd w:val="clear" w:color="auto" w:fill="FFFFFF"/>
        </w:rPr>
        <w:t>2.2</w:t>
      </w:r>
      <w:r>
        <w:rPr>
          <w:rFonts w:ascii="Times New Roman" w:hAnsi="Times New Roman" w:eastAsia="方正仿宋_GBK"/>
          <w:b/>
          <w:bCs/>
          <w:sz w:val="32"/>
          <w:szCs w:val="32"/>
        </w:rPr>
        <w:t>电商平台采样</w:t>
      </w:r>
    </w:p>
    <w:p w14:paraId="2A8A3FB3">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电磁灶每批次</w:t>
      </w:r>
      <w:r>
        <w:rPr>
          <w:rFonts w:ascii="Times New Roman" w:hAnsi="Times New Roman" w:eastAsia="方正仿宋_GBK"/>
          <w:color w:val="000000"/>
          <w:sz w:val="32"/>
          <w:szCs w:val="32"/>
        </w:rPr>
        <w:t>产品抽取样品</w:t>
      </w:r>
      <w:r>
        <w:rPr>
          <w:rFonts w:hint="eastAsia" w:ascii="Times New Roman" w:hAnsi="Times New Roman" w:eastAsia="方正仿宋_GBK"/>
          <w:color w:val="000000"/>
          <w:sz w:val="32"/>
          <w:szCs w:val="32"/>
          <w:lang w:val="en-US" w:eastAsia="zh-CN"/>
        </w:rPr>
        <w:t>3</w:t>
      </w:r>
      <w:r>
        <w:rPr>
          <w:rFonts w:hint="eastAsia" w:ascii="Times New Roman" w:hAnsi="Times New Roman" w:eastAsia="方正仿宋_GBK"/>
          <w:color w:val="000000"/>
          <w:sz w:val="32"/>
          <w:szCs w:val="32"/>
        </w:rPr>
        <w:t>台</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val="en-US" w:eastAsia="zh-CN"/>
        </w:rPr>
        <w:t>其中2台作为</w:t>
      </w:r>
      <w:r>
        <w:rPr>
          <w:rFonts w:hint="eastAsia" w:ascii="Times New Roman" w:hAnsi="Times New Roman" w:eastAsia="方正仿宋_GBK"/>
          <w:color w:val="000000"/>
          <w:sz w:val="32"/>
          <w:szCs w:val="32"/>
        </w:rPr>
        <w:t>检验样品，</w:t>
      </w:r>
      <w:r>
        <w:rPr>
          <w:rFonts w:hint="eastAsia" w:ascii="Times New Roman" w:hAnsi="Times New Roman" w:eastAsia="方正仿宋_GBK"/>
          <w:color w:val="000000"/>
          <w:sz w:val="32"/>
          <w:szCs w:val="32"/>
          <w:lang w:val="en-US" w:eastAsia="zh-CN"/>
        </w:rPr>
        <w:t>1台作为备用样品</w:t>
      </w:r>
      <w:r>
        <w:rPr>
          <w:rFonts w:ascii="Times New Roman" w:hAnsi="Times New Roman" w:eastAsia="方正仿宋_GBK"/>
          <w:color w:val="000000"/>
          <w:sz w:val="32"/>
          <w:szCs w:val="32"/>
        </w:rPr>
        <w:t>。</w:t>
      </w:r>
      <w:bookmarkStart w:id="0" w:name="_GoBack"/>
      <w:bookmarkEnd w:id="0"/>
    </w:p>
    <w:p w14:paraId="6A8C6CA4">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78A8ACE3">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51"/>
        <w:gridCol w:w="2045"/>
        <w:gridCol w:w="2342"/>
        <w:gridCol w:w="2051"/>
        <w:gridCol w:w="2051"/>
      </w:tblGrid>
      <w:tr w14:paraId="213E6A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40BC762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245" w:type="pct"/>
            <w:gridSpan w:val="2"/>
            <w:noWrap/>
            <w:vAlign w:val="center"/>
          </w:tcPr>
          <w:p w14:paraId="0B8C75A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638" w:type="pct"/>
            <w:noWrap/>
            <w:vAlign w:val="center"/>
          </w:tcPr>
          <w:p w14:paraId="45FB816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1720" w:type="pct"/>
            <w:noWrap/>
            <w:vAlign w:val="center"/>
          </w:tcPr>
          <w:p w14:paraId="42D9F9C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检验检测方法</w:t>
            </w:r>
          </w:p>
        </w:tc>
      </w:tr>
      <w:tr w14:paraId="041607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648CD51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245" w:type="pct"/>
            <w:gridSpan w:val="2"/>
            <w:noWrap/>
            <w:vAlign w:val="center"/>
          </w:tcPr>
          <w:p w14:paraId="454A13C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对触及带电部件的防护</w:t>
            </w:r>
          </w:p>
        </w:tc>
        <w:tc>
          <w:tcPr>
            <w:tcW w:w="1638" w:type="pct"/>
            <w:vMerge w:val="restart"/>
            <w:noWrap/>
            <w:vAlign w:val="center"/>
          </w:tcPr>
          <w:p w14:paraId="0012D9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758E195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383E458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4706.22-2008</w:t>
            </w:r>
          </w:p>
          <w:p w14:paraId="7CEB785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4706.29-2008</w:t>
            </w:r>
          </w:p>
          <w:p w14:paraId="1E29DA4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1BDADCF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6FD7448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4706.22-2024</w:t>
            </w:r>
          </w:p>
        </w:tc>
        <w:tc>
          <w:tcPr>
            <w:tcW w:w="1720" w:type="pct"/>
            <w:vMerge w:val="restart"/>
            <w:noWrap/>
            <w:vAlign w:val="center"/>
          </w:tcPr>
          <w:p w14:paraId="741AE14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755DD54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0C657A3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4706.22-2008</w:t>
            </w:r>
          </w:p>
          <w:p w14:paraId="63BD2AF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4706.29-2008</w:t>
            </w:r>
          </w:p>
          <w:p w14:paraId="14FFD6C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578D1E8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5FDE828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4706.22-2024</w:t>
            </w:r>
          </w:p>
        </w:tc>
      </w:tr>
      <w:tr w14:paraId="331B69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5D7547C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245" w:type="pct"/>
            <w:gridSpan w:val="2"/>
            <w:noWrap/>
            <w:vAlign w:val="center"/>
          </w:tcPr>
          <w:p w14:paraId="2E67509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输入功率和电流</w:t>
            </w:r>
          </w:p>
        </w:tc>
        <w:tc>
          <w:tcPr>
            <w:tcW w:w="1638" w:type="pct"/>
            <w:vMerge w:val="continue"/>
            <w:noWrap/>
            <w:vAlign w:val="center"/>
          </w:tcPr>
          <w:p w14:paraId="67AF42A1">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EB69745">
            <w:pPr>
              <w:adjustRightInd w:val="0"/>
              <w:snapToGrid w:val="0"/>
              <w:jc w:val="center"/>
              <w:rPr>
                <w:rFonts w:ascii="方正仿宋_GBK" w:hAnsi="方正仿宋_GBK" w:eastAsia="方正仿宋_GBK" w:cs="方正仿宋_GBK"/>
                <w:sz w:val="24"/>
              </w:rPr>
            </w:pPr>
          </w:p>
        </w:tc>
      </w:tr>
      <w:tr w14:paraId="55C3D3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6AA3733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245" w:type="pct"/>
            <w:gridSpan w:val="2"/>
            <w:noWrap/>
            <w:vAlign w:val="center"/>
          </w:tcPr>
          <w:p w14:paraId="1D8BCAB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发热</w:t>
            </w:r>
          </w:p>
        </w:tc>
        <w:tc>
          <w:tcPr>
            <w:tcW w:w="1638" w:type="pct"/>
            <w:vMerge w:val="continue"/>
            <w:noWrap/>
            <w:vAlign w:val="center"/>
          </w:tcPr>
          <w:p w14:paraId="4F10EB0C">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B6C0BB1">
            <w:pPr>
              <w:adjustRightInd w:val="0"/>
              <w:snapToGrid w:val="0"/>
              <w:jc w:val="center"/>
              <w:rPr>
                <w:rFonts w:ascii="方正仿宋_GBK" w:hAnsi="方正仿宋_GBK" w:eastAsia="方正仿宋_GBK" w:cs="方正仿宋_GBK"/>
                <w:sz w:val="24"/>
              </w:rPr>
            </w:pPr>
          </w:p>
        </w:tc>
      </w:tr>
      <w:tr w14:paraId="2CE125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0783220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245" w:type="pct"/>
            <w:gridSpan w:val="2"/>
            <w:noWrap/>
            <w:vAlign w:val="center"/>
          </w:tcPr>
          <w:p w14:paraId="4078456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工作温度下的泄漏电流和电气强度</w:t>
            </w:r>
          </w:p>
        </w:tc>
        <w:tc>
          <w:tcPr>
            <w:tcW w:w="1638" w:type="pct"/>
            <w:vMerge w:val="continue"/>
            <w:noWrap/>
            <w:vAlign w:val="center"/>
          </w:tcPr>
          <w:p w14:paraId="0BBA9AC8">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535A8E18">
            <w:pPr>
              <w:adjustRightInd w:val="0"/>
              <w:snapToGrid w:val="0"/>
              <w:jc w:val="center"/>
              <w:rPr>
                <w:rFonts w:ascii="方正仿宋_GBK" w:hAnsi="方正仿宋_GBK" w:eastAsia="方正仿宋_GBK" w:cs="方正仿宋_GBK"/>
                <w:sz w:val="24"/>
              </w:rPr>
            </w:pPr>
          </w:p>
        </w:tc>
      </w:tr>
      <w:tr w14:paraId="658468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607D55F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245" w:type="pct"/>
            <w:gridSpan w:val="2"/>
            <w:noWrap/>
            <w:vAlign w:val="center"/>
          </w:tcPr>
          <w:p w14:paraId="1B0EDB3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耐潮湿</w:t>
            </w:r>
          </w:p>
        </w:tc>
        <w:tc>
          <w:tcPr>
            <w:tcW w:w="1638" w:type="pct"/>
            <w:vMerge w:val="continue"/>
            <w:noWrap/>
            <w:vAlign w:val="center"/>
          </w:tcPr>
          <w:p w14:paraId="3CFE7582">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7BB6AA2C">
            <w:pPr>
              <w:adjustRightInd w:val="0"/>
              <w:snapToGrid w:val="0"/>
              <w:jc w:val="center"/>
              <w:rPr>
                <w:rFonts w:ascii="方正仿宋_GBK" w:hAnsi="方正仿宋_GBK" w:eastAsia="方正仿宋_GBK" w:cs="方正仿宋_GBK"/>
                <w:sz w:val="24"/>
              </w:rPr>
            </w:pPr>
          </w:p>
        </w:tc>
      </w:tr>
      <w:tr w14:paraId="4A890F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4386772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245" w:type="pct"/>
            <w:gridSpan w:val="2"/>
            <w:noWrap/>
            <w:vAlign w:val="center"/>
          </w:tcPr>
          <w:p w14:paraId="216168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泄漏电流和电气强度</w:t>
            </w:r>
          </w:p>
        </w:tc>
        <w:tc>
          <w:tcPr>
            <w:tcW w:w="1638" w:type="pct"/>
            <w:vMerge w:val="continue"/>
            <w:noWrap/>
            <w:vAlign w:val="center"/>
          </w:tcPr>
          <w:p w14:paraId="22ECE70E">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6841814">
            <w:pPr>
              <w:adjustRightInd w:val="0"/>
              <w:snapToGrid w:val="0"/>
              <w:jc w:val="center"/>
              <w:rPr>
                <w:rFonts w:ascii="方正仿宋_GBK" w:hAnsi="方正仿宋_GBK" w:eastAsia="方正仿宋_GBK" w:cs="方正仿宋_GBK"/>
                <w:sz w:val="24"/>
              </w:rPr>
            </w:pPr>
          </w:p>
        </w:tc>
      </w:tr>
      <w:tr w14:paraId="39E639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6CF75FA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245" w:type="pct"/>
            <w:gridSpan w:val="2"/>
            <w:noWrap/>
            <w:vAlign w:val="center"/>
          </w:tcPr>
          <w:p w14:paraId="1CD27F2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非正常工作（不包括第19.11.4条的试验）</w:t>
            </w:r>
          </w:p>
        </w:tc>
        <w:tc>
          <w:tcPr>
            <w:tcW w:w="1638" w:type="pct"/>
            <w:vMerge w:val="continue"/>
            <w:noWrap/>
            <w:vAlign w:val="center"/>
          </w:tcPr>
          <w:p w14:paraId="306E9FB6">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7EF2BDFB">
            <w:pPr>
              <w:adjustRightInd w:val="0"/>
              <w:snapToGrid w:val="0"/>
              <w:jc w:val="center"/>
              <w:rPr>
                <w:rFonts w:ascii="方正仿宋_GBK" w:hAnsi="方正仿宋_GBK" w:eastAsia="方正仿宋_GBK" w:cs="方正仿宋_GBK"/>
                <w:sz w:val="24"/>
              </w:rPr>
            </w:pPr>
          </w:p>
        </w:tc>
      </w:tr>
      <w:tr w14:paraId="3D5BA0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5351CFA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245" w:type="pct"/>
            <w:gridSpan w:val="2"/>
            <w:noWrap/>
            <w:vAlign w:val="center"/>
          </w:tcPr>
          <w:p w14:paraId="739871B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稳定性和机械危险</w:t>
            </w:r>
          </w:p>
        </w:tc>
        <w:tc>
          <w:tcPr>
            <w:tcW w:w="1638" w:type="pct"/>
            <w:vMerge w:val="continue"/>
            <w:noWrap/>
            <w:vAlign w:val="center"/>
          </w:tcPr>
          <w:p w14:paraId="431797E3">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1C95767D">
            <w:pPr>
              <w:adjustRightInd w:val="0"/>
              <w:snapToGrid w:val="0"/>
              <w:jc w:val="center"/>
              <w:rPr>
                <w:rFonts w:ascii="方正仿宋_GBK" w:hAnsi="方正仿宋_GBK" w:eastAsia="方正仿宋_GBK" w:cs="方正仿宋_GBK"/>
                <w:sz w:val="24"/>
              </w:rPr>
            </w:pPr>
          </w:p>
        </w:tc>
      </w:tr>
      <w:tr w14:paraId="4E7DF2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0B27173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245" w:type="pct"/>
            <w:gridSpan w:val="2"/>
            <w:noWrap/>
            <w:vAlign w:val="center"/>
          </w:tcPr>
          <w:p w14:paraId="781833D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机械强度</w:t>
            </w:r>
          </w:p>
        </w:tc>
        <w:tc>
          <w:tcPr>
            <w:tcW w:w="1638" w:type="pct"/>
            <w:vMerge w:val="continue"/>
            <w:noWrap/>
            <w:vAlign w:val="center"/>
          </w:tcPr>
          <w:p w14:paraId="6BD42DB9">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EDAA076">
            <w:pPr>
              <w:adjustRightInd w:val="0"/>
              <w:snapToGrid w:val="0"/>
              <w:jc w:val="center"/>
              <w:rPr>
                <w:rFonts w:ascii="方正仿宋_GBK" w:hAnsi="方正仿宋_GBK" w:eastAsia="方正仿宋_GBK" w:cs="方正仿宋_GBK"/>
                <w:sz w:val="24"/>
              </w:rPr>
            </w:pPr>
          </w:p>
        </w:tc>
      </w:tr>
      <w:tr w14:paraId="5ADF8C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3B11F77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245" w:type="pct"/>
            <w:gridSpan w:val="2"/>
            <w:noWrap/>
            <w:vAlign w:val="center"/>
          </w:tcPr>
          <w:p w14:paraId="0367030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结构（不包括第22.46条的试验）</w:t>
            </w:r>
          </w:p>
        </w:tc>
        <w:tc>
          <w:tcPr>
            <w:tcW w:w="1638" w:type="pct"/>
            <w:vMerge w:val="continue"/>
            <w:noWrap/>
            <w:vAlign w:val="center"/>
          </w:tcPr>
          <w:p w14:paraId="4138ED55">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2DB45F2">
            <w:pPr>
              <w:adjustRightInd w:val="0"/>
              <w:snapToGrid w:val="0"/>
              <w:jc w:val="center"/>
              <w:rPr>
                <w:rFonts w:ascii="方正仿宋_GBK" w:hAnsi="方正仿宋_GBK" w:eastAsia="方正仿宋_GBK" w:cs="方正仿宋_GBK"/>
                <w:sz w:val="24"/>
              </w:rPr>
            </w:pPr>
          </w:p>
        </w:tc>
      </w:tr>
      <w:tr w14:paraId="1856BE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066DB6D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245" w:type="pct"/>
            <w:gridSpan w:val="2"/>
            <w:noWrap/>
            <w:vAlign w:val="center"/>
          </w:tcPr>
          <w:p w14:paraId="7C0F69F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内部布线</w:t>
            </w:r>
          </w:p>
        </w:tc>
        <w:tc>
          <w:tcPr>
            <w:tcW w:w="1638" w:type="pct"/>
            <w:vMerge w:val="continue"/>
            <w:noWrap/>
          </w:tcPr>
          <w:p w14:paraId="0AD06519">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146249BE">
            <w:pPr>
              <w:adjustRightInd w:val="0"/>
              <w:snapToGrid w:val="0"/>
              <w:jc w:val="center"/>
              <w:rPr>
                <w:rFonts w:ascii="方正仿宋_GBK" w:hAnsi="方正仿宋_GBK" w:eastAsia="方正仿宋_GBK" w:cs="方正仿宋_GBK"/>
                <w:sz w:val="24"/>
              </w:rPr>
            </w:pPr>
          </w:p>
        </w:tc>
      </w:tr>
      <w:tr w14:paraId="24591FB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2D01029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245" w:type="pct"/>
            <w:gridSpan w:val="2"/>
            <w:noWrap/>
            <w:vAlign w:val="center"/>
          </w:tcPr>
          <w:p w14:paraId="18F34E4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电源连接和外部软线</w:t>
            </w:r>
          </w:p>
        </w:tc>
        <w:tc>
          <w:tcPr>
            <w:tcW w:w="1638" w:type="pct"/>
            <w:vMerge w:val="continue"/>
            <w:noWrap/>
            <w:vAlign w:val="center"/>
          </w:tcPr>
          <w:p w14:paraId="430505BC">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25568DA5">
            <w:pPr>
              <w:adjustRightInd w:val="0"/>
              <w:snapToGrid w:val="0"/>
              <w:jc w:val="center"/>
              <w:rPr>
                <w:rFonts w:ascii="方正仿宋_GBK" w:hAnsi="方正仿宋_GBK" w:eastAsia="方正仿宋_GBK" w:cs="方正仿宋_GBK"/>
                <w:sz w:val="24"/>
              </w:rPr>
            </w:pPr>
          </w:p>
        </w:tc>
      </w:tr>
      <w:tr w14:paraId="1D3AB9A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25D9604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245" w:type="pct"/>
            <w:gridSpan w:val="2"/>
            <w:noWrap/>
            <w:vAlign w:val="center"/>
          </w:tcPr>
          <w:p w14:paraId="4741B64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外部导线用接线端子/外部导体用接线端子</w:t>
            </w:r>
          </w:p>
        </w:tc>
        <w:tc>
          <w:tcPr>
            <w:tcW w:w="1638" w:type="pct"/>
            <w:vMerge w:val="continue"/>
            <w:noWrap/>
            <w:vAlign w:val="center"/>
          </w:tcPr>
          <w:p w14:paraId="7D5D4DA2">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2F74F56F">
            <w:pPr>
              <w:adjustRightInd w:val="0"/>
              <w:snapToGrid w:val="0"/>
              <w:jc w:val="center"/>
              <w:rPr>
                <w:rFonts w:ascii="方正仿宋_GBK" w:hAnsi="方正仿宋_GBK" w:eastAsia="方正仿宋_GBK" w:cs="方正仿宋_GBK"/>
                <w:sz w:val="24"/>
              </w:rPr>
            </w:pPr>
          </w:p>
        </w:tc>
      </w:tr>
      <w:tr w14:paraId="74843B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6F9E553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245" w:type="pct"/>
            <w:gridSpan w:val="2"/>
            <w:noWrap/>
            <w:vAlign w:val="center"/>
          </w:tcPr>
          <w:p w14:paraId="1ACC64B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接地措施</w:t>
            </w:r>
          </w:p>
        </w:tc>
        <w:tc>
          <w:tcPr>
            <w:tcW w:w="1638" w:type="pct"/>
            <w:vMerge w:val="continue"/>
            <w:noWrap/>
            <w:vAlign w:val="center"/>
          </w:tcPr>
          <w:p w14:paraId="19BF0780">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5A85E28C">
            <w:pPr>
              <w:adjustRightInd w:val="0"/>
              <w:snapToGrid w:val="0"/>
              <w:jc w:val="center"/>
              <w:rPr>
                <w:rFonts w:ascii="方正仿宋_GBK" w:hAnsi="方正仿宋_GBK" w:eastAsia="方正仿宋_GBK" w:cs="方正仿宋_GBK"/>
                <w:sz w:val="24"/>
              </w:rPr>
            </w:pPr>
          </w:p>
        </w:tc>
      </w:tr>
      <w:tr w14:paraId="14DE0F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31BC873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15</w:t>
            </w:r>
          </w:p>
        </w:tc>
        <w:tc>
          <w:tcPr>
            <w:tcW w:w="1245" w:type="pct"/>
            <w:gridSpan w:val="2"/>
            <w:noWrap/>
            <w:vAlign w:val="center"/>
          </w:tcPr>
          <w:p w14:paraId="19CDF42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螺钉和连接</w:t>
            </w:r>
          </w:p>
        </w:tc>
        <w:tc>
          <w:tcPr>
            <w:tcW w:w="1638" w:type="pct"/>
            <w:vMerge w:val="continue"/>
            <w:noWrap/>
            <w:vAlign w:val="center"/>
          </w:tcPr>
          <w:p w14:paraId="7AE9969F">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5A1222E8">
            <w:pPr>
              <w:adjustRightInd w:val="0"/>
              <w:snapToGrid w:val="0"/>
              <w:jc w:val="center"/>
              <w:rPr>
                <w:rFonts w:ascii="方正仿宋_GBK" w:hAnsi="方正仿宋_GBK" w:eastAsia="方正仿宋_GBK" w:cs="方正仿宋_GBK"/>
                <w:sz w:val="24"/>
              </w:rPr>
            </w:pPr>
          </w:p>
        </w:tc>
      </w:tr>
      <w:tr w14:paraId="7BDBF6A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15A8B1A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16</w:t>
            </w:r>
          </w:p>
        </w:tc>
        <w:tc>
          <w:tcPr>
            <w:tcW w:w="1245" w:type="pct"/>
            <w:gridSpan w:val="2"/>
            <w:noWrap/>
            <w:vAlign w:val="center"/>
          </w:tcPr>
          <w:p w14:paraId="11C1DA7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电气间隙、爬电距离和固体绝缘</w:t>
            </w:r>
          </w:p>
        </w:tc>
        <w:tc>
          <w:tcPr>
            <w:tcW w:w="1638" w:type="pct"/>
            <w:vMerge w:val="continue"/>
            <w:noWrap/>
            <w:vAlign w:val="center"/>
          </w:tcPr>
          <w:p w14:paraId="0363D73E">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01D5ED8A">
            <w:pPr>
              <w:adjustRightInd w:val="0"/>
              <w:snapToGrid w:val="0"/>
              <w:jc w:val="center"/>
              <w:rPr>
                <w:rFonts w:ascii="方正仿宋_GBK" w:hAnsi="方正仿宋_GBK" w:eastAsia="方正仿宋_GBK" w:cs="方正仿宋_GBK"/>
                <w:sz w:val="24"/>
              </w:rPr>
            </w:pPr>
          </w:p>
        </w:tc>
      </w:tr>
      <w:tr w14:paraId="2A0CC9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vMerge w:val="restart"/>
            <w:noWrap/>
            <w:vAlign w:val="center"/>
          </w:tcPr>
          <w:p w14:paraId="5FB26C6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17</w:t>
            </w:r>
          </w:p>
        </w:tc>
        <w:tc>
          <w:tcPr>
            <w:tcW w:w="580" w:type="pct"/>
            <w:vMerge w:val="restart"/>
            <w:noWrap/>
            <w:vAlign w:val="center"/>
          </w:tcPr>
          <w:p w14:paraId="4DCD5F7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能效等级</w:t>
            </w:r>
          </w:p>
        </w:tc>
        <w:tc>
          <w:tcPr>
            <w:tcW w:w="665" w:type="pct"/>
            <w:noWrap/>
            <w:vAlign w:val="center"/>
          </w:tcPr>
          <w:p w14:paraId="56BB541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热效率</w:t>
            </w:r>
          </w:p>
        </w:tc>
        <w:tc>
          <w:tcPr>
            <w:tcW w:w="1638" w:type="pct"/>
            <w:vMerge w:val="restart"/>
            <w:noWrap/>
            <w:vAlign w:val="center"/>
          </w:tcPr>
          <w:p w14:paraId="7258912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21456-2014</w:t>
            </w:r>
          </w:p>
          <w:p w14:paraId="357D1ED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21456-2024</w:t>
            </w:r>
          </w:p>
        </w:tc>
        <w:tc>
          <w:tcPr>
            <w:tcW w:w="1720" w:type="pct"/>
            <w:vMerge w:val="restart"/>
            <w:noWrap/>
            <w:vAlign w:val="center"/>
          </w:tcPr>
          <w:p w14:paraId="41C69CF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21456-2014</w:t>
            </w:r>
          </w:p>
          <w:p w14:paraId="4F933D8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21456-2024</w:t>
            </w:r>
          </w:p>
        </w:tc>
      </w:tr>
      <w:tr w14:paraId="6E1F9F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vMerge w:val="continue"/>
            <w:noWrap/>
            <w:vAlign w:val="center"/>
          </w:tcPr>
          <w:p w14:paraId="1B9AA169">
            <w:pPr>
              <w:adjustRightInd w:val="0"/>
              <w:snapToGrid w:val="0"/>
              <w:jc w:val="center"/>
              <w:rPr>
                <w:rFonts w:ascii="方正仿宋_GBK" w:hAnsi="方正仿宋_GBK" w:eastAsia="方正仿宋_GBK" w:cs="方正仿宋_GBK"/>
                <w:sz w:val="24"/>
              </w:rPr>
            </w:pPr>
          </w:p>
        </w:tc>
        <w:tc>
          <w:tcPr>
            <w:tcW w:w="580" w:type="pct"/>
            <w:vMerge w:val="continue"/>
            <w:noWrap/>
            <w:vAlign w:val="center"/>
          </w:tcPr>
          <w:p w14:paraId="50EA2188">
            <w:pPr>
              <w:adjustRightInd w:val="0"/>
              <w:snapToGrid w:val="0"/>
              <w:jc w:val="center"/>
              <w:rPr>
                <w:rFonts w:ascii="方正仿宋_GBK" w:hAnsi="方正仿宋_GBK" w:eastAsia="方正仿宋_GBK" w:cs="方正仿宋_GBK"/>
                <w:sz w:val="24"/>
              </w:rPr>
            </w:pPr>
          </w:p>
        </w:tc>
        <w:tc>
          <w:tcPr>
            <w:tcW w:w="665" w:type="pct"/>
            <w:noWrap/>
            <w:vAlign w:val="center"/>
          </w:tcPr>
          <w:p w14:paraId="79B64CE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待机状态功率</w:t>
            </w:r>
          </w:p>
        </w:tc>
        <w:tc>
          <w:tcPr>
            <w:tcW w:w="1638" w:type="pct"/>
            <w:vMerge w:val="continue"/>
            <w:noWrap/>
            <w:vAlign w:val="center"/>
          </w:tcPr>
          <w:p w14:paraId="7716C0DE">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2C0694BE">
            <w:pPr>
              <w:adjustRightInd w:val="0"/>
              <w:snapToGrid w:val="0"/>
              <w:jc w:val="center"/>
              <w:rPr>
                <w:rFonts w:ascii="方正仿宋_GBK" w:hAnsi="方正仿宋_GBK" w:eastAsia="方正仿宋_GBK" w:cs="方正仿宋_GBK"/>
                <w:sz w:val="24"/>
              </w:rPr>
            </w:pPr>
          </w:p>
        </w:tc>
      </w:tr>
      <w:tr w14:paraId="395436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13DA6C0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18</w:t>
            </w:r>
          </w:p>
        </w:tc>
        <w:tc>
          <w:tcPr>
            <w:tcW w:w="1245" w:type="pct"/>
            <w:gridSpan w:val="2"/>
            <w:noWrap/>
            <w:vAlign w:val="center"/>
          </w:tcPr>
          <w:p w14:paraId="55B8F52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端子骚扰电压（连续骚扰）</w:t>
            </w:r>
          </w:p>
        </w:tc>
        <w:tc>
          <w:tcPr>
            <w:tcW w:w="1638" w:type="pct"/>
            <w:vMerge w:val="restart"/>
            <w:noWrap/>
            <w:vAlign w:val="center"/>
          </w:tcPr>
          <w:p w14:paraId="24A4A11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4343.1-2018</w:t>
            </w:r>
          </w:p>
          <w:p w14:paraId="012A30D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4343.1-2024</w:t>
            </w:r>
          </w:p>
        </w:tc>
        <w:tc>
          <w:tcPr>
            <w:tcW w:w="1720" w:type="pct"/>
            <w:vMerge w:val="restart"/>
            <w:noWrap/>
            <w:vAlign w:val="center"/>
          </w:tcPr>
          <w:p w14:paraId="174C1D8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4343.1-2018</w:t>
            </w:r>
          </w:p>
          <w:p w14:paraId="0919050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4343.1-2024</w:t>
            </w:r>
          </w:p>
        </w:tc>
      </w:tr>
      <w:tr w14:paraId="1E6BD2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5E25A5F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19</w:t>
            </w:r>
          </w:p>
        </w:tc>
        <w:tc>
          <w:tcPr>
            <w:tcW w:w="1245" w:type="pct"/>
            <w:gridSpan w:val="2"/>
            <w:noWrap/>
            <w:vAlign w:val="center"/>
          </w:tcPr>
          <w:p w14:paraId="36A570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骚扰功率、辐射骚扰</w:t>
            </w:r>
          </w:p>
        </w:tc>
        <w:tc>
          <w:tcPr>
            <w:tcW w:w="1638" w:type="pct"/>
            <w:vMerge w:val="continue"/>
            <w:noWrap/>
            <w:vAlign w:val="center"/>
          </w:tcPr>
          <w:p w14:paraId="30D14C10">
            <w:pPr>
              <w:adjustRightInd w:val="0"/>
              <w:snapToGrid w:val="0"/>
              <w:jc w:val="center"/>
              <w:rPr>
                <w:rFonts w:ascii="方正仿宋_GBK" w:hAnsi="方正仿宋_GBK" w:eastAsia="方正仿宋_GBK" w:cs="方正仿宋_GBK"/>
                <w:sz w:val="24"/>
              </w:rPr>
            </w:pPr>
          </w:p>
        </w:tc>
        <w:tc>
          <w:tcPr>
            <w:tcW w:w="1720" w:type="pct"/>
            <w:vMerge w:val="continue"/>
            <w:noWrap/>
            <w:vAlign w:val="center"/>
          </w:tcPr>
          <w:p w14:paraId="29EA253D">
            <w:pPr>
              <w:adjustRightInd w:val="0"/>
              <w:snapToGrid w:val="0"/>
              <w:jc w:val="center"/>
              <w:rPr>
                <w:rFonts w:ascii="方正仿宋_GBK" w:hAnsi="方正仿宋_GBK" w:eastAsia="方正仿宋_GBK" w:cs="方正仿宋_GBK"/>
                <w:sz w:val="24"/>
              </w:rPr>
            </w:pPr>
          </w:p>
        </w:tc>
      </w:tr>
      <w:tr w14:paraId="0C92C2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ign w:val="center"/>
          </w:tcPr>
          <w:p w14:paraId="1F20CBB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20</w:t>
            </w:r>
          </w:p>
        </w:tc>
        <w:tc>
          <w:tcPr>
            <w:tcW w:w="1245" w:type="pct"/>
            <w:gridSpan w:val="2"/>
            <w:shd w:val="clear" w:color="auto" w:fill="auto"/>
            <w:noWrap/>
            <w:vAlign w:val="center"/>
          </w:tcPr>
          <w:p w14:paraId="73A95628">
            <w:pPr>
              <w:adjustRightInd w:val="0"/>
              <w:snapToGrid w:val="0"/>
              <w:jc w:val="center"/>
              <w:rPr>
                <w:rFonts w:ascii="方正仿宋_GBK" w:hAnsi="方正仿宋_GBK" w:eastAsia="方正仿宋_GBK" w:cs="方正仿宋_GBK"/>
                <w:color w:val="000000"/>
                <w:sz w:val="24"/>
              </w:rPr>
            </w:pPr>
            <w:r>
              <w:rPr>
                <w:rFonts w:hint="eastAsia" w:ascii="方正仿宋_GBK" w:hAnsi="方正仿宋_GBK" w:eastAsia="方正仿宋_GBK" w:cs="方正仿宋_GBK"/>
                <w:sz w:val="24"/>
              </w:rPr>
              <w:t>噪声</w:t>
            </w:r>
          </w:p>
        </w:tc>
        <w:tc>
          <w:tcPr>
            <w:tcW w:w="1638" w:type="pct"/>
            <w:shd w:val="clear" w:color="auto" w:fill="auto"/>
            <w:noWrap/>
            <w:vAlign w:val="center"/>
          </w:tcPr>
          <w:p w14:paraId="2DC46CE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23128-2008</w:t>
            </w:r>
          </w:p>
        </w:tc>
        <w:tc>
          <w:tcPr>
            <w:tcW w:w="1720" w:type="pct"/>
            <w:noWrap/>
            <w:vAlign w:val="center"/>
          </w:tcPr>
          <w:p w14:paraId="7BB2FB5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23128-2008</w:t>
            </w:r>
          </w:p>
        </w:tc>
      </w:tr>
    </w:tbl>
    <w:p w14:paraId="287AC686">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146AC095">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131BE806">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140730A4">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581A30A8">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4706.1-2005《家用和类似用途电器的安全 第1部分：通用要求》</w:t>
      </w:r>
    </w:p>
    <w:p w14:paraId="48AC5342">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4706.14-2008《家用和类似用途电器的安全 第2部分：风扇的特殊要求》</w:t>
      </w:r>
    </w:p>
    <w:p w14:paraId="62555A58">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4706.22-2008《家用和类似用途电器的安全 驻立式电灶、灶台、烤箱及类似用途器具的特殊要求》</w:t>
      </w:r>
    </w:p>
    <w:p w14:paraId="4BEF34B5">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4706.29-2008《家用和类似用途电器的安全 便携式电磁灶的特殊要求》</w:t>
      </w:r>
    </w:p>
    <w:p w14:paraId="7B928AB4">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4706.1-2024《家用和类似用途电器的安全 第1部分：通用要求》</w:t>
      </w:r>
    </w:p>
    <w:p w14:paraId="455C600E">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4706.14-2024《家用和类似用途电器的安全 第14部分：烤架、面包片烘烤器及类似用途便携式烹饪器具的特殊要求》</w:t>
      </w:r>
    </w:p>
    <w:p w14:paraId="6D934DE3">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4706.22-2024《家用和类似用途电器的安全 第22部分：驻立式烤箱灶、灶台、烤箱及类似用途器具的特殊要求》</w:t>
      </w:r>
    </w:p>
    <w:p w14:paraId="5C3E39B0">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21456-2014《家用电磁灶能效限定值及能效等级》</w:t>
      </w:r>
    </w:p>
    <w:p w14:paraId="5F0584DA">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21456-2024《家用和类似用途厨房电器能效限定值及能效等级》</w:t>
      </w:r>
    </w:p>
    <w:p w14:paraId="5B425FEA">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4343.1-2018《家用电器、电动工具和类似器具的电磁兼容要求 第1部分：发射》</w:t>
      </w:r>
    </w:p>
    <w:p w14:paraId="7F1F60D9">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4343.1-2018《家用电器、电动工具和类似器具的电磁兼容要求 第1部分：发射》</w:t>
      </w:r>
    </w:p>
    <w:p w14:paraId="5EC3532F">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23128-2008《电磁灶》</w:t>
      </w:r>
    </w:p>
    <w:p w14:paraId="58F4EDDB">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382A82B9">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17830B1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306F149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1AD05A3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77156F0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4F255F5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5225DBF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446A3292">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788DF801">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161B3A96">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B42801C">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C2956C-977F-4D9B-9FA3-153AA48E3A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88F4C6E-2E2B-4364-9B4A-8AEF518B1B72}"/>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930945C8-5B4B-4AF1-9913-1F93C30BDE3C}"/>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5EF10458-58ED-414B-9DCF-9CC78E5B03B4}"/>
  </w:font>
  <w:font w:name="方正黑体_GBK">
    <w:panose1 w:val="02000000000000000000"/>
    <w:charset w:val="86"/>
    <w:family w:val="auto"/>
    <w:pitch w:val="default"/>
    <w:sig w:usb0="A00002BF" w:usb1="38CF7CFA" w:usb2="00082016" w:usb3="00000000" w:csb0="00040001" w:csb1="00000000"/>
    <w:embedRegular r:id="rId5" w:fontKey="{292F12F7-E6A2-47D8-9B0F-E7DB9EA63C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A0EC3">
    <w:pPr>
      <w:pStyle w:val="3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57D605C">
                <w:pPr>
                  <w:pStyle w:val="3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E48B3"/>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C720A"/>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61B1A"/>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487F6E"/>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9EB158C"/>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3236B8"/>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4AF54B7"/>
    <w:rsid w:val="55142EB5"/>
    <w:rsid w:val="55880FC9"/>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3477052"/>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7C2BEC"/>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1516</Words>
  <Characters>1987</Characters>
  <Lines>5</Lines>
  <Paragraphs>4</Paragraphs>
  <TotalTime>0</TotalTime>
  <ScaleCrop>false</ScaleCrop>
  <LinksUpToDate>false</LinksUpToDate>
  <CharactersWithSpaces>2033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2026-04-22T07:42:19Z</dcterms:modified>
  <dc:title>XXXX年第X批风险监测实施方案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