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昆山</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val="en-US" w:eastAsia="zh-CN"/>
        </w:rPr>
        <w:t>电热水壶</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2026</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昆山</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val="en-US" w:eastAsia="zh-CN"/>
        </w:rPr>
        <w:t>电热水壶</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p>
    <w:p w14:paraId="6746AA33">
      <w:pPr>
        <w:spacing w:line="580" w:lineRule="exact"/>
        <w:ind w:firstLine="643" w:firstLineChars="200"/>
        <w:outlineLvl w:val="0"/>
        <w:rPr>
          <w:rFonts w:hint="default" w:ascii="Times New Roman" w:hAnsi="Times New Roman" w:eastAsia="方正仿宋_GBK" w:cs="Times New Roman"/>
          <w:bCs/>
          <w:color w:val="000000"/>
          <w:kern w:val="0"/>
          <w:sz w:val="32"/>
          <w:szCs w:val="32"/>
          <w:highlight w:val="none"/>
          <w:shd w:val="clear" w:color="auto" w:fill="FFFFFF"/>
          <w:lang w:bidi="ar"/>
        </w:rPr>
      </w:pPr>
      <w:r>
        <w:rPr>
          <w:rFonts w:hint="default" w:ascii="Times New Roman" w:hAnsi="Times New Roman" w:eastAsia="方正仿宋_GBK" w:cs="Times New Roman"/>
          <w:b/>
          <w:bCs w:val="0"/>
          <w:color w:val="000000"/>
          <w:kern w:val="0"/>
          <w:sz w:val="32"/>
          <w:szCs w:val="32"/>
          <w:highlight w:val="none"/>
          <w:shd w:val="clear" w:color="auto" w:fill="FFFFFF"/>
          <w:lang w:bidi="ar"/>
        </w:rPr>
        <w:t>2.2</w:t>
      </w:r>
      <w:r>
        <w:rPr>
          <w:rFonts w:hint="default" w:ascii="Times New Roman" w:hAnsi="Times New Roman" w:eastAsia="方正仿宋_GBK" w:cs="Times New Roman"/>
          <w:b/>
          <w:bCs/>
          <w:sz w:val="32"/>
          <w:szCs w:val="32"/>
          <w:highlight w:val="none"/>
        </w:rPr>
        <w:t>电商平台采样</w:t>
      </w:r>
    </w:p>
    <w:p w14:paraId="4020E78A">
      <w:pPr>
        <w:spacing w:line="580" w:lineRule="exact"/>
        <w:ind w:firstLine="640" w:firstLineChars="200"/>
        <w:rPr>
          <w:rFonts w:hint="default" w:ascii="Times New Roman" w:hAnsi="Times New Roman" w:eastAsia="方正仿宋_GBK" w:cs="Times New Roman"/>
          <w:color w:val="000000"/>
          <w:sz w:val="32"/>
          <w:szCs w:val="32"/>
          <w:highlight w:val="none"/>
        </w:rPr>
      </w:pPr>
      <w:bookmarkStart w:id="0" w:name="_GoBack"/>
      <w:bookmarkEnd w:id="0"/>
      <w:r>
        <w:rPr>
          <w:rFonts w:ascii="Times New Roman" w:hAnsi="Times New Roman" w:eastAsia="方正仿宋_GBK"/>
          <w:color w:val="000000"/>
          <w:sz w:val="32"/>
          <w:szCs w:val="32"/>
        </w:rPr>
        <w:t>抽取样品</w:t>
      </w:r>
      <w:r>
        <w:rPr>
          <w:rFonts w:hint="eastAsia" w:ascii="Times New Roman" w:hAnsi="Times New Roman" w:eastAsia="方正仿宋_GBK"/>
          <w:color w:val="000000"/>
          <w:sz w:val="32"/>
          <w:szCs w:val="32"/>
          <w:lang w:val="en-US" w:eastAsia="zh-CN"/>
        </w:rPr>
        <w:t>3</w:t>
      </w:r>
      <w:r>
        <w:rPr>
          <w:rFonts w:hint="eastAsia" w:ascii="Times New Roman" w:hAnsi="Times New Roman" w:eastAsia="方正仿宋_GBK"/>
          <w:color w:val="000000"/>
          <w:sz w:val="32"/>
          <w:szCs w:val="32"/>
        </w:rPr>
        <w:t>台</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lang w:val="en-US" w:eastAsia="zh-CN"/>
        </w:rPr>
        <w:t>其中2台作为</w:t>
      </w:r>
      <w:r>
        <w:rPr>
          <w:rFonts w:hint="eastAsia" w:ascii="Times New Roman" w:hAnsi="Times New Roman" w:eastAsia="方正仿宋_GBK"/>
          <w:color w:val="000000"/>
          <w:sz w:val="32"/>
          <w:szCs w:val="32"/>
        </w:rPr>
        <w:t>检验样品，</w:t>
      </w:r>
      <w:r>
        <w:rPr>
          <w:rFonts w:hint="eastAsia" w:ascii="Times New Roman" w:hAnsi="Times New Roman" w:eastAsia="方正仿宋_GBK"/>
          <w:color w:val="000000"/>
          <w:sz w:val="32"/>
          <w:szCs w:val="32"/>
          <w:lang w:val="en-US" w:eastAsia="zh-CN"/>
        </w:rPr>
        <w:t>1台作为备用样品</w:t>
      </w:r>
      <w:r>
        <w:rPr>
          <w:rFonts w:ascii="Times New Roman" w:hAnsi="Times New Roman" w:eastAsia="方正仿宋_GBK"/>
          <w:color w:val="000000"/>
          <w:sz w:val="32"/>
          <w:szCs w:val="32"/>
        </w:rPr>
        <w:t>。</w:t>
      </w:r>
    </w:p>
    <w:p w14:paraId="60D87896">
      <w:pPr>
        <w:spacing w:line="580" w:lineRule="exact"/>
        <w:ind w:firstLine="640" w:firstLineChars="200"/>
        <w:rPr>
          <w:rFonts w:hint="default" w:ascii="Times New Roman" w:hAnsi="Times New Roman" w:cs="Times New Roman"/>
          <w:b/>
          <w:bCs/>
          <w:color w:val="000000"/>
          <w:sz w:val="32"/>
          <w:szCs w:val="32"/>
          <w:highlight w:val="none"/>
        </w:rPr>
      </w:pPr>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表1</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w:t>
            </w:r>
          </w:p>
        </w:tc>
        <w:tc>
          <w:tcPr>
            <w:tcW w:w="1246" w:type="pct"/>
            <w:noWrap w:val="0"/>
            <w:vAlign w:val="center"/>
          </w:tcPr>
          <w:p w14:paraId="356077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对触及带电部件的防护</w:t>
            </w:r>
          </w:p>
        </w:tc>
        <w:tc>
          <w:tcPr>
            <w:tcW w:w="1638" w:type="pct"/>
            <w:vMerge w:val="restart"/>
            <w:noWrap w:val="0"/>
            <w:vAlign w:val="center"/>
          </w:tcPr>
          <w:p w14:paraId="27F2F5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54E737A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4706.19-2008</w:t>
            </w:r>
          </w:p>
          <w:p w14:paraId="68F8999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4706.1-2024</w:t>
            </w:r>
          </w:p>
          <w:p w14:paraId="2D775F9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4706.19-2024</w:t>
            </w:r>
          </w:p>
        </w:tc>
        <w:tc>
          <w:tcPr>
            <w:tcW w:w="1719" w:type="pct"/>
            <w:vMerge w:val="restart"/>
            <w:noWrap w:val="0"/>
            <w:vAlign w:val="center"/>
          </w:tcPr>
          <w:p w14:paraId="59562CB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7B852BF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4706.19-2008</w:t>
            </w:r>
          </w:p>
          <w:p w14:paraId="64B55B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4706.1-2024</w:t>
            </w:r>
          </w:p>
          <w:p w14:paraId="1FB2278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GB/T 4706.19-2024</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2</w:t>
            </w:r>
          </w:p>
        </w:tc>
        <w:tc>
          <w:tcPr>
            <w:tcW w:w="1246" w:type="pct"/>
            <w:noWrap w:val="0"/>
            <w:vAlign w:val="center"/>
          </w:tcPr>
          <w:p w14:paraId="14637D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输入功率和电流</w:t>
            </w:r>
          </w:p>
        </w:tc>
        <w:tc>
          <w:tcPr>
            <w:tcW w:w="1638"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13876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w:t>
            </w:r>
          </w:p>
        </w:tc>
        <w:tc>
          <w:tcPr>
            <w:tcW w:w="1246" w:type="pct"/>
            <w:noWrap w:val="0"/>
            <w:vAlign w:val="center"/>
          </w:tcPr>
          <w:p w14:paraId="729D64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发热</w:t>
            </w:r>
          </w:p>
        </w:tc>
        <w:tc>
          <w:tcPr>
            <w:tcW w:w="1638" w:type="pct"/>
            <w:vMerge w:val="continue"/>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9BAEE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w:t>
            </w:r>
          </w:p>
        </w:tc>
        <w:tc>
          <w:tcPr>
            <w:tcW w:w="1246" w:type="pct"/>
            <w:noWrap w:val="0"/>
            <w:vAlign w:val="center"/>
          </w:tcPr>
          <w:p w14:paraId="20D6A6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工作温度下的泄漏电流和电气强度</w:t>
            </w:r>
          </w:p>
        </w:tc>
        <w:tc>
          <w:tcPr>
            <w:tcW w:w="1638"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600735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5</w:t>
            </w:r>
          </w:p>
        </w:tc>
        <w:tc>
          <w:tcPr>
            <w:tcW w:w="1246" w:type="pct"/>
            <w:noWrap w:val="0"/>
            <w:vAlign w:val="center"/>
          </w:tcPr>
          <w:p w14:paraId="3DBA4D0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耐潮湿</w:t>
            </w:r>
          </w:p>
        </w:tc>
        <w:tc>
          <w:tcPr>
            <w:tcW w:w="1638" w:type="pct"/>
            <w:vMerge w:val="continue"/>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E19C4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6</w:t>
            </w:r>
          </w:p>
        </w:tc>
        <w:tc>
          <w:tcPr>
            <w:tcW w:w="1246" w:type="pct"/>
            <w:noWrap w:val="0"/>
            <w:vAlign w:val="center"/>
          </w:tcPr>
          <w:p w14:paraId="3F3FEA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泄漏电流和电气强度</w:t>
            </w:r>
          </w:p>
        </w:tc>
        <w:tc>
          <w:tcPr>
            <w:tcW w:w="1638" w:type="pct"/>
            <w:vMerge w:val="continue"/>
            <w:noWrap w:val="0"/>
            <w:vAlign w:val="center"/>
          </w:tcPr>
          <w:p w14:paraId="44F77B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6B625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098421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05A29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1246" w:type="pct"/>
            <w:noWrap w:val="0"/>
            <w:vAlign w:val="center"/>
          </w:tcPr>
          <w:p w14:paraId="2244729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非正常工作（不包括第19.11.4条试验）</w:t>
            </w:r>
          </w:p>
        </w:tc>
        <w:tc>
          <w:tcPr>
            <w:tcW w:w="1638" w:type="pct"/>
            <w:vMerge w:val="continue"/>
            <w:noWrap w:val="0"/>
            <w:vAlign w:val="center"/>
          </w:tcPr>
          <w:p w14:paraId="25FF01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CF4EB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57BA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D664A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8</w:t>
            </w:r>
          </w:p>
        </w:tc>
        <w:tc>
          <w:tcPr>
            <w:tcW w:w="1246" w:type="pct"/>
            <w:noWrap w:val="0"/>
            <w:vAlign w:val="center"/>
          </w:tcPr>
          <w:p w14:paraId="7BED7A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稳定性和机械危险</w:t>
            </w:r>
          </w:p>
        </w:tc>
        <w:tc>
          <w:tcPr>
            <w:tcW w:w="1638" w:type="pct"/>
            <w:vMerge w:val="continue"/>
            <w:noWrap w:val="0"/>
            <w:vAlign w:val="center"/>
          </w:tcPr>
          <w:p w14:paraId="693F7B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22355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8C55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7AF1C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9</w:t>
            </w:r>
          </w:p>
        </w:tc>
        <w:tc>
          <w:tcPr>
            <w:tcW w:w="1246" w:type="pct"/>
            <w:noWrap w:val="0"/>
            <w:vAlign w:val="center"/>
          </w:tcPr>
          <w:p w14:paraId="154772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机械强度</w:t>
            </w:r>
          </w:p>
        </w:tc>
        <w:tc>
          <w:tcPr>
            <w:tcW w:w="1638" w:type="pct"/>
            <w:vMerge w:val="continue"/>
            <w:noWrap w:val="0"/>
            <w:vAlign w:val="center"/>
          </w:tcPr>
          <w:p w14:paraId="23BD7D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A6171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3ADA4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A768D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10</w:t>
            </w:r>
          </w:p>
        </w:tc>
        <w:tc>
          <w:tcPr>
            <w:tcW w:w="1246" w:type="pct"/>
            <w:noWrap w:val="0"/>
            <w:vAlign w:val="center"/>
          </w:tcPr>
          <w:p w14:paraId="295BDA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结构（不包括第22.46、22.103条试验）</w:t>
            </w:r>
          </w:p>
        </w:tc>
        <w:tc>
          <w:tcPr>
            <w:tcW w:w="1638" w:type="pct"/>
            <w:vMerge w:val="continue"/>
            <w:noWrap w:val="0"/>
            <w:vAlign w:val="center"/>
          </w:tcPr>
          <w:p w14:paraId="7538BBD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DB86C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C82D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05C1D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11</w:t>
            </w:r>
          </w:p>
        </w:tc>
        <w:tc>
          <w:tcPr>
            <w:tcW w:w="1246" w:type="pct"/>
            <w:noWrap w:val="0"/>
            <w:vAlign w:val="center"/>
          </w:tcPr>
          <w:p w14:paraId="744FDF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内部布线</w:t>
            </w:r>
          </w:p>
        </w:tc>
        <w:tc>
          <w:tcPr>
            <w:tcW w:w="1638" w:type="pct"/>
            <w:vMerge w:val="continue"/>
            <w:noWrap w:val="0"/>
            <w:vAlign w:val="top"/>
          </w:tcPr>
          <w:p w14:paraId="7308B5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8D07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B1CFA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D107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12</w:t>
            </w:r>
          </w:p>
        </w:tc>
        <w:tc>
          <w:tcPr>
            <w:tcW w:w="1246" w:type="pct"/>
            <w:noWrap w:val="0"/>
            <w:vAlign w:val="center"/>
          </w:tcPr>
          <w:p w14:paraId="0E816B7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电源连接和外部软线</w:t>
            </w:r>
          </w:p>
        </w:tc>
        <w:tc>
          <w:tcPr>
            <w:tcW w:w="1638" w:type="pct"/>
            <w:vMerge w:val="continue"/>
            <w:noWrap w:val="0"/>
            <w:vAlign w:val="center"/>
          </w:tcPr>
          <w:p w14:paraId="33C09FA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1E3CC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4925F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E9471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13</w:t>
            </w:r>
          </w:p>
        </w:tc>
        <w:tc>
          <w:tcPr>
            <w:tcW w:w="1246" w:type="pct"/>
            <w:noWrap w:val="0"/>
            <w:vAlign w:val="center"/>
          </w:tcPr>
          <w:p w14:paraId="04F874E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外部导线用接线端子</w:t>
            </w:r>
          </w:p>
          <w:p w14:paraId="3E23821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或外部导体用接线端子</w:t>
            </w:r>
          </w:p>
        </w:tc>
        <w:tc>
          <w:tcPr>
            <w:tcW w:w="1638" w:type="pct"/>
            <w:vMerge w:val="continue"/>
            <w:noWrap w:val="0"/>
            <w:vAlign w:val="center"/>
          </w:tcPr>
          <w:p w14:paraId="597A83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78CAA5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1171E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A2B524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14</w:t>
            </w:r>
          </w:p>
        </w:tc>
        <w:tc>
          <w:tcPr>
            <w:tcW w:w="1246" w:type="pct"/>
            <w:noWrap w:val="0"/>
            <w:vAlign w:val="center"/>
          </w:tcPr>
          <w:p w14:paraId="1BCC757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接地措施</w:t>
            </w:r>
          </w:p>
        </w:tc>
        <w:tc>
          <w:tcPr>
            <w:tcW w:w="1638" w:type="pct"/>
            <w:vMerge w:val="continue"/>
            <w:noWrap w:val="0"/>
            <w:vAlign w:val="center"/>
          </w:tcPr>
          <w:p w14:paraId="28E78BA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416F05C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FD87A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93DC1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15</w:t>
            </w:r>
          </w:p>
        </w:tc>
        <w:tc>
          <w:tcPr>
            <w:tcW w:w="1246" w:type="pct"/>
            <w:noWrap w:val="0"/>
            <w:vAlign w:val="center"/>
          </w:tcPr>
          <w:p w14:paraId="731642A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螺钉和连接</w:t>
            </w:r>
          </w:p>
        </w:tc>
        <w:tc>
          <w:tcPr>
            <w:tcW w:w="1638" w:type="pct"/>
            <w:vMerge w:val="continue"/>
            <w:noWrap w:val="0"/>
            <w:vAlign w:val="center"/>
          </w:tcPr>
          <w:p w14:paraId="7242AD6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465824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77726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5FB6DB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16</w:t>
            </w:r>
          </w:p>
        </w:tc>
        <w:tc>
          <w:tcPr>
            <w:tcW w:w="1246" w:type="pct"/>
            <w:noWrap w:val="0"/>
            <w:vAlign w:val="center"/>
          </w:tcPr>
          <w:p w14:paraId="681015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电气间隙、爬电距离和固体绝缘</w:t>
            </w:r>
          </w:p>
        </w:tc>
        <w:tc>
          <w:tcPr>
            <w:tcW w:w="1638" w:type="pct"/>
            <w:vMerge w:val="continue"/>
            <w:noWrap w:val="0"/>
            <w:vAlign w:val="center"/>
          </w:tcPr>
          <w:p w14:paraId="3B47C27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943AD4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bl>
    <w:p w14:paraId="50D77E33">
      <w:pPr>
        <w:spacing w:line="580" w:lineRule="exact"/>
        <w:ind w:firstLine="56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shd w:val="clear" w:color="auto" w:fill="FFFFFF"/>
          <w:lang w:bidi="ar"/>
        </w:rPr>
      </w:pPr>
      <w:r>
        <w:rPr>
          <w:rFonts w:hint="default" w:ascii="Times New Roman" w:hAnsi="Times New Roman" w:eastAsia="黑体" w:cs="Times New Roman"/>
          <w:bCs/>
          <w:color w:val="000000"/>
          <w:sz w:val="32"/>
          <w:szCs w:val="32"/>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4.1</w:t>
      </w:r>
      <w:r>
        <w:rPr>
          <w:rFonts w:hint="default" w:ascii="Times New Roman" w:hAnsi="Times New Roman" w:eastAsia="方正仿宋_GBK" w:cs="Times New Roman"/>
          <w:b/>
          <w:bCs/>
          <w:color w:val="000000"/>
          <w:sz w:val="32"/>
          <w:szCs w:val="32"/>
        </w:rPr>
        <w:t>依据标准</w:t>
      </w:r>
    </w:p>
    <w:p w14:paraId="15EF339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 4706.1-2005</w:t>
      </w:r>
      <w:r>
        <w:rPr>
          <w:rFonts w:hint="eastAsia" w:ascii="Times New Roman" w:hAnsi="Times New Roman" w:eastAsia="方正仿宋_GBK" w:cs="Times New Roman"/>
          <w:color w:val="000000"/>
          <w:sz w:val="32"/>
          <w:szCs w:val="32"/>
        </w:rPr>
        <w:t>《家用和类似用途电器的安全 第1部分：通用要求》</w:t>
      </w:r>
    </w:p>
    <w:p w14:paraId="3E15AA78">
      <w:pPr>
        <w:keepNext w:val="0"/>
        <w:keepLines w:val="0"/>
        <w:pageBreakBefore w:val="0"/>
        <w:widowControl w:val="0"/>
        <w:kinsoku/>
        <w:wordWrap/>
        <w:overflowPunct/>
        <w:topLinePunct w:val="0"/>
        <w:autoSpaceDE/>
        <w:autoSpaceDN/>
        <w:bidi w:val="0"/>
        <w:adjustRightInd w:val="0"/>
        <w:snapToGrid w:val="0"/>
        <w:ind w:firstLine="640" w:firstLineChars="200"/>
        <w:jc w:val="left"/>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 4706.19-2008</w:t>
      </w:r>
      <w:r>
        <w:rPr>
          <w:rFonts w:hint="eastAsia" w:ascii="Times New Roman" w:hAnsi="Times New Roman" w:eastAsia="方正仿宋_GBK" w:cs="Times New Roman"/>
          <w:color w:val="000000"/>
          <w:sz w:val="32"/>
          <w:szCs w:val="32"/>
        </w:rPr>
        <w:t>《家用和类似用途电器的安全 液体加热器的特殊要求》</w:t>
      </w:r>
    </w:p>
    <w:p w14:paraId="085D109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GB/T 4706.1-2024</w:t>
      </w:r>
      <w:r>
        <w:rPr>
          <w:rFonts w:hint="eastAsia" w:ascii="Times New Roman" w:hAnsi="Times New Roman" w:eastAsia="方正仿宋_GBK" w:cs="Times New Roman"/>
          <w:color w:val="000000"/>
          <w:sz w:val="32"/>
          <w:szCs w:val="32"/>
        </w:rPr>
        <w:t>《家用和类似用途电器的安全 第1部分：通用要求》</w:t>
      </w:r>
    </w:p>
    <w:p w14:paraId="0821C58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 4706.19-2024《家用和类似用途电器的安全 第19部分：液体加热器的特殊要求</w:t>
      </w:r>
      <w:r>
        <w:rPr>
          <w:rFonts w:hint="eastAsia" w:ascii="Times New Roman" w:hAnsi="Times New Roman" w:eastAsia="方正仿宋_GBK" w:cs="Times New Roman"/>
          <w:color w:val="000000"/>
          <w:sz w:val="32"/>
          <w:szCs w:val="32"/>
        </w:rPr>
        <w:t>》</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4.2</w:t>
      </w:r>
      <w:r>
        <w:rPr>
          <w:rFonts w:hint="default" w:ascii="Times New Roman" w:hAnsi="Times New Roman" w:eastAsia="方正仿宋_GBK" w:cs="Times New Roman"/>
          <w:b/>
          <w:bCs/>
          <w:color w:val="000000"/>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0F62680">
      <w:pPr>
        <w:spacing w:line="580" w:lineRule="exact"/>
        <w:ind w:firstLine="640" w:firstLineChars="200"/>
        <w:rPr>
          <w:rFonts w:hint="default" w:ascii="Times New Roman" w:hAnsi="Times New Roman" w:eastAsia="方正仿宋_GBK" w:cs="Times New Roman"/>
          <w:strike/>
          <w:color w:val="000000"/>
          <w:kern w:val="2"/>
          <w:sz w:val="32"/>
          <w:szCs w:val="32"/>
        </w:rPr>
      </w:pPr>
      <w:r>
        <w:rPr>
          <w:rFonts w:hint="default"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0C344E-8A06-4BB9-BA1D-1DDF814243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C7A15C4-EB58-4652-BCB2-7D0DF3B85B37}"/>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17F4A0F8-7AA0-4CDA-BD23-096E9C0DA750}"/>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75F5C36B-45FB-4FF0-AC57-7167BD29BDC5}"/>
  </w:font>
  <w:font w:name="方正黑体_GBK">
    <w:panose1 w:val="02000000000000000000"/>
    <w:charset w:val="86"/>
    <w:family w:val="script"/>
    <w:pitch w:val="default"/>
    <w:sig w:usb0="A00002BF" w:usb1="38CF7CFA" w:usb2="00082016" w:usb3="00000000" w:csb0="00040001" w:csb1="00000000"/>
    <w:embedRegular r:id="rId5" w:fontKey="{10C44B6A-CB1D-4D04-AB33-4448C0246F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822A6D"/>
    <w:rsid w:val="14987A16"/>
    <w:rsid w:val="149B6BF0"/>
    <w:rsid w:val="14C64543"/>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C26986"/>
    <w:rsid w:val="2ADC0CAD"/>
    <w:rsid w:val="2B47788F"/>
    <w:rsid w:val="2BCB1A43"/>
    <w:rsid w:val="2CE10710"/>
    <w:rsid w:val="2CE85F5A"/>
    <w:rsid w:val="2CEA6C91"/>
    <w:rsid w:val="2D7E3D18"/>
    <w:rsid w:val="2DDD3326"/>
    <w:rsid w:val="2F45627A"/>
    <w:rsid w:val="2F6949FE"/>
    <w:rsid w:val="2FB87DE1"/>
    <w:rsid w:val="2FE31FA2"/>
    <w:rsid w:val="2FEC59DE"/>
    <w:rsid w:val="303A6BC9"/>
    <w:rsid w:val="303C51CA"/>
    <w:rsid w:val="31235BF9"/>
    <w:rsid w:val="31607A94"/>
    <w:rsid w:val="31C50242"/>
    <w:rsid w:val="325469A5"/>
    <w:rsid w:val="326B5648"/>
    <w:rsid w:val="32975988"/>
    <w:rsid w:val="32C80CD2"/>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7008FE"/>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51E027C"/>
    <w:rsid w:val="56FB1310"/>
    <w:rsid w:val="57F36F9A"/>
    <w:rsid w:val="58243433"/>
    <w:rsid w:val="5834492C"/>
    <w:rsid w:val="583771DE"/>
    <w:rsid w:val="58AF6790"/>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3BA744E"/>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987DF5"/>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1195</Words>
  <Characters>1390</Characters>
  <Lines>66</Lines>
  <Paragraphs>18</Paragraphs>
  <TotalTime>0</TotalTime>
  <ScaleCrop>false</ScaleCrop>
  <LinksUpToDate>false</LinksUpToDate>
  <CharactersWithSpaces>1407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2026-04-22T07:43:35Z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