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AB2A9">
      <w:pPr>
        <w:snapToGrid w:val="0"/>
        <w:spacing w:line="580" w:lineRule="exact"/>
        <w:jc w:val="center"/>
        <w:rPr>
          <w:rFonts w:ascii="Times New Roman" w:hAnsi="Times New Roman" w:eastAsia="方正小标宋_GBK"/>
          <w:color w:val="000000"/>
          <w:sz w:val="44"/>
          <w:szCs w:val="44"/>
        </w:rPr>
      </w:pPr>
      <w:r>
        <w:rPr>
          <w:rFonts w:hint="eastAsia" w:ascii="Times New Roman" w:hAnsi="Times New Roman" w:eastAsia="方正小标宋_GBK"/>
          <w:color w:val="000000"/>
          <w:sz w:val="44"/>
          <w:szCs w:val="44"/>
        </w:rPr>
        <w:t>昆山</w:t>
      </w:r>
      <w:r>
        <w:rPr>
          <w:rFonts w:ascii="Times New Roman" w:hAnsi="Times New Roman" w:eastAsia="方正小标宋_GBK"/>
          <w:color w:val="000000"/>
          <w:sz w:val="44"/>
          <w:szCs w:val="44"/>
        </w:rPr>
        <w:t>市</w:t>
      </w:r>
      <w:r>
        <w:rPr>
          <w:rFonts w:hint="eastAsia" w:ascii="Times New Roman" w:hAnsi="Times New Roman" w:eastAsia="方正小标宋_GBK"/>
          <w:color w:val="000000"/>
          <w:sz w:val="44"/>
          <w:szCs w:val="44"/>
        </w:rPr>
        <w:t>多用途锅（电火锅、电炖锅、空气炸锅）</w:t>
      </w:r>
      <w:r>
        <w:rPr>
          <w:rFonts w:ascii="Times New Roman" w:hAnsi="Times New Roman" w:eastAsia="方正小标宋_GBK"/>
          <w:color w:val="000000"/>
          <w:sz w:val="44"/>
          <w:szCs w:val="44"/>
        </w:rPr>
        <w:t>产品质量监督抽查实施细则（</w:t>
      </w:r>
      <w:r>
        <w:rPr>
          <w:rFonts w:hint="eastAsia" w:ascii="方正小标宋_GBK" w:hAnsi="方正小标宋_GBK" w:eastAsia="方正小标宋_GBK" w:cs="方正小标宋_GBK"/>
          <w:color w:val="000000"/>
          <w:sz w:val="44"/>
          <w:szCs w:val="44"/>
        </w:rPr>
        <w:t>2026</w:t>
      </w:r>
      <w:r>
        <w:rPr>
          <w:rFonts w:ascii="Times New Roman" w:hAnsi="Times New Roman" w:eastAsia="方正小标宋_GBK"/>
          <w:color w:val="000000"/>
          <w:sz w:val="44"/>
          <w:szCs w:val="44"/>
        </w:rPr>
        <w:t>年版）</w:t>
      </w:r>
    </w:p>
    <w:p w14:paraId="270C0FAC">
      <w:pPr>
        <w:pStyle w:val="64"/>
      </w:pPr>
    </w:p>
    <w:p w14:paraId="60095B54">
      <w:pPr>
        <w:spacing w:line="600" w:lineRule="exact"/>
        <w:ind w:firstLine="640" w:firstLineChars="200"/>
        <w:outlineLvl w:val="0"/>
        <w:rPr>
          <w:rFonts w:ascii="Times New Roman" w:hAnsi="Times New Roman" w:eastAsia="方正黑体_GBK"/>
          <w:color w:val="000000"/>
          <w:kern w:val="0"/>
          <w:sz w:val="32"/>
          <w:szCs w:val="32"/>
          <w:shd w:val="clear" w:color="auto" w:fill="FFFFFF"/>
        </w:rPr>
      </w:pPr>
      <w:r>
        <w:rPr>
          <w:rFonts w:ascii="Times New Roman" w:hAnsi="Times New Roman" w:eastAsia="黑体"/>
          <w:bCs/>
          <w:color w:val="000000"/>
          <w:sz w:val="32"/>
          <w:szCs w:val="32"/>
        </w:rPr>
        <w:t>1.范围</w:t>
      </w:r>
    </w:p>
    <w:p w14:paraId="64C1C54E">
      <w:pPr>
        <w:spacing w:line="560" w:lineRule="exact"/>
        <w:ind w:firstLine="640" w:firstLineChars="200"/>
        <w:rPr>
          <w:rFonts w:ascii="Times New Roman" w:hAnsi="Times New Roman" w:eastAsia="仿宋_GB2312"/>
          <w:color w:val="000000"/>
          <w:sz w:val="30"/>
          <w:szCs w:val="32"/>
        </w:rPr>
      </w:pPr>
      <w:r>
        <w:rPr>
          <w:rFonts w:ascii="Times New Roman" w:hAnsi="Times New Roman" w:eastAsia="方正仿宋_GBK"/>
          <w:color w:val="000000"/>
          <w:sz w:val="32"/>
          <w:szCs w:val="32"/>
        </w:rPr>
        <w:t>本细则适用于</w:t>
      </w:r>
      <w:r>
        <w:rPr>
          <w:rFonts w:hint="eastAsia" w:ascii="Times New Roman" w:hAnsi="Times New Roman" w:eastAsia="方正仿宋_GBK"/>
          <w:color w:val="000000"/>
          <w:sz w:val="32"/>
          <w:szCs w:val="32"/>
        </w:rPr>
        <w:t>昆山</w:t>
      </w:r>
      <w:r>
        <w:rPr>
          <w:rFonts w:ascii="Times New Roman" w:hAnsi="Times New Roman" w:eastAsia="方正仿宋_GBK"/>
          <w:color w:val="000000"/>
          <w:sz w:val="32"/>
          <w:szCs w:val="32"/>
        </w:rPr>
        <w:t>市市场监督管理局组织的</w:t>
      </w:r>
      <w:r>
        <w:rPr>
          <w:rFonts w:hint="eastAsia" w:ascii="Times New Roman" w:hAnsi="Times New Roman" w:eastAsia="方正仿宋_GBK"/>
          <w:color w:val="000000"/>
          <w:sz w:val="32"/>
          <w:szCs w:val="32"/>
        </w:rPr>
        <w:t>多用途锅（电火锅、电炖锅、空气炸锅）</w:t>
      </w:r>
      <w:r>
        <w:rPr>
          <w:rFonts w:ascii="Times New Roman" w:hAnsi="Times New Roman" w:eastAsia="方正仿宋_GBK"/>
          <w:color w:val="000000"/>
          <w:sz w:val="32"/>
          <w:szCs w:val="32"/>
        </w:rPr>
        <w:t>产品质量监督抽查检验。本细则规定了此产品的抽样方法、检验依据、检验项目、检验方法、判定原则、异议处理及复检。</w:t>
      </w:r>
    </w:p>
    <w:p w14:paraId="529EC245">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2.抽样方法</w:t>
      </w:r>
    </w:p>
    <w:p w14:paraId="1D1FA380">
      <w:pPr>
        <w:spacing w:line="580" w:lineRule="exact"/>
        <w:ind w:firstLine="643" w:firstLineChars="200"/>
        <w:rPr>
          <w:rFonts w:ascii="Times New Roman" w:hAnsi="Times New Roman" w:eastAsia="方正仿宋_GBK"/>
          <w:b/>
          <w:bCs/>
          <w:sz w:val="32"/>
          <w:szCs w:val="32"/>
        </w:rPr>
      </w:pPr>
      <w:r>
        <w:rPr>
          <w:rFonts w:ascii="Times New Roman" w:hAnsi="Times New Roman" w:eastAsia="方正仿宋_GBK"/>
          <w:b/>
          <w:bCs/>
          <w:sz w:val="32"/>
          <w:szCs w:val="32"/>
        </w:rPr>
        <w:t>2.1生产企业、实体店抽样</w:t>
      </w:r>
    </w:p>
    <w:p w14:paraId="588C78B5">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Times New Roman" w:hAnsi="Times New Roman" w:eastAsia="方正仿宋_GBK"/>
          <w:color w:val="000000"/>
          <w:sz w:val="32"/>
          <w:szCs w:val="32"/>
        </w:rPr>
        <w:t>在受检企业的成品仓库或者其确认场所，随机抽取有产品质量检验合格证明或者其他形式表明合格的待销产品，抽样基数应满足抽样要求。</w:t>
      </w:r>
      <w:r>
        <w:rPr>
          <w:rFonts w:ascii="Times New Roman" w:hAnsi="Times New Roman" w:eastAsia="方正仿宋_GBK"/>
          <w:color w:val="000000"/>
          <w:kern w:val="0"/>
          <w:sz w:val="32"/>
          <w:szCs w:val="32"/>
          <w:shd w:val="clear" w:color="auto" w:fill="FFFFFF"/>
        </w:rPr>
        <w:t>抽样过程均需拍照留证。一经抽样，立即封样，任何人不得调换。</w:t>
      </w:r>
    </w:p>
    <w:p w14:paraId="39100F56">
      <w:pPr>
        <w:spacing w:line="580" w:lineRule="exact"/>
        <w:ind w:firstLine="643" w:firstLineChars="200"/>
        <w:outlineLvl w:val="0"/>
        <w:rPr>
          <w:rFonts w:ascii="Times New Roman" w:hAnsi="Times New Roman" w:eastAsia="方正仿宋_GBK"/>
          <w:bCs/>
          <w:color w:val="000000"/>
          <w:kern w:val="0"/>
          <w:sz w:val="32"/>
          <w:szCs w:val="32"/>
          <w:shd w:val="clear" w:color="auto" w:fill="FFFFFF"/>
        </w:rPr>
      </w:pPr>
      <w:r>
        <w:rPr>
          <w:rFonts w:ascii="Times New Roman" w:hAnsi="Times New Roman" w:eastAsia="方正仿宋_GBK"/>
          <w:b/>
          <w:color w:val="000000"/>
          <w:kern w:val="0"/>
          <w:sz w:val="32"/>
          <w:szCs w:val="32"/>
          <w:shd w:val="clear" w:color="auto" w:fill="FFFFFF"/>
        </w:rPr>
        <w:t>2.2</w:t>
      </w:r>
      <w:r>
        <w:rPr>
          <w:rFonts w:ascii="Times New Roman" w:hAnsi="Times New Roman" w:eastAsia="方正仿宋_GBK"/>
          <w:b/>
          <w:bCs/>
          <w:sz w:val="32"/>
          <w:szCs w:val="32"/>
        </w:rPr>
        <w:t>电商平台采样</w:t>
      </w:r>
    </w:p>
    <w:p w14:paraId="3138226B">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多用途锅（电火锅、电炖锅、空气炸锅）</w:t>
      </w:r>
      <w:r>
        <w:rPr>
          <w:rFonts w:hint="eastAsia" w:ascii="Times New Roman" w:hAnsi="Times New Roman" w:eastAsia="方正仿宋_GBK" w:cs="Times New Roman"/>
          <w:color w:val="000000"/>
          <w:sz w:val="32"/>
          <w:szCs w:val="32"/>
          <w:highlight w:val="none"/>
          <w:lang w:val="en-US" w:eastAsia="zh-CN"/>
        </w:rPr>
        <w:t>每批次</w:t>
      </w:r>
      <w:r>
        <w:rPr>
          <w:rFonts w:hint="default" w:ascii="Times New Roman" w:hAnsi="Times New Roman" w:eastAsia="方正仿宋_GBK" w:cs="Times New Roman"/>
          <w:color w:val="000000"/>
          <w:sz w:val="32"/>
          <w:szCs w:val="32"/>
          <w:highlight w:val="none"/>
        </w:rPr>
        <w:t>产品抽取样品</w:t>
      </w:r>
      <w:r>
        <w:rPr>
          <w:rFonts w:hint="eastAsia" w:ascii="Times New Roman" w:hAnsi="Times New Roman" w:eastAsia="方正仿宋_GBK" w:cs="Times New Roman"/>
          <w:color w:val="000000"/>
          <w:sz w:val="32"/>
          <w:szCs w:val="32"/>
          <w:highlight w:val="none"/>
          <w:lang w:val="en-US" w:eastAsia="zh-CN"/>
        </w:rPr>
        <w:t>2台</w:t>
      </w:r>
      <w:r>
        <w:rPr>
          <w:rFonts w:hint="default" w:ascii="Times New Roman" w:hAnsi="Times New Roman" w:eastAsia="方正仿宋_GBK" w:cs="Times New Roman"/>
          <w:color w:val="000000"/>
          <w:sz w:val="32"/>
          <w:szCs w:val="32"/>
          <w:highlight w:val="none"/>
        </w:rPr>
        <w:t>，</w:t>
      </w:r>
      <w:bookmarkStart w:id="0" w:name="_GoBack"/>
      <w:bookmarkEnd w:id="0"/>
      <w:r>
        <w:rPr>
          <w:rFonts w:hint="eastAsia" w:ascii="Times New Roman" w:hAnsi="Times New Roman" w:eastAsia="方正仿宋_GBK" w:cs="Times New Roman"/>
          <w:color w:val="000000"/>
          <w:sz w:val="32"/>
          <w:szCs w:val="32"/>
          <w:highlight w:val="none"/>
          <w:lang w:val="en-US" w:eastAsia="zh-CN"/>
        </w:rPr>
        <w:t>其中检验样品1台，备用样品1台。</w:t>
      </w:r>
    </w:p>
    <w:p w14:paraId="198B6DF6">
      <w:pPr>
        <w:spacing w:line="580" w:lineRule="exact"/>
        <w:ind w:firstLine="640" w:firstLineChars="200"/>
        <w:rPr>
          <w:rFonts w:ascii="Times New Roman" w:hAnsi="Times New Roman"/>
          <w:b/>
          <w:bCs/>
          <w:color w:val="000000"/>
          <w:sz w:val="32"/>
          <w:szCs w:val="32"/>
        </w:rPr>
      </w:pPr>
      <w:r>
        <w:rPr>
          <w:rFonts w:ascii="Times New Roman" w:hAnsi="Times New Roman" w:eastAsia="黑体"/>
          <w:bCs/>
          <w:color w:val="000000"/>
          <w:sz w:val="32"/>
          <w:szCs w:val="32"/>
        </w:rPr>
        <w:t>3.检验依据</w:t>
      </w:r>
    </w:p>
    <w:p w14:paraId="0645D6AE">
      <w:pPr>
        <w:jc w:val="center"/>
        <w:rPr>
          <w:rFonts w:ascii="Times New Roman" w:hAnsi="Times New Roman" w:eastAsia="方正仿宋_GBK"/>
          <w:sz w:val="24"/>
        </w:rPr>
      </w:pPr>
      <w:r>
        <w:rPr>
          <w:rFonts w:ascii="Times New Roman" w:hAnsi="Times New Roman" w:eastAsia="方正仿宋_GBK"/>
          <w:sz w:val="24"/>
        </w:rPr>
        <w:t>表1检验项目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0D01D6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9700B3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246" w:type="pct"/>
            <w:noWrap/>
            <w:vAlign w:val="center"/>
          </w:tcPr>
          <w:p w14:paraId="2D6D825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1638" w:type="pct"/>
            <w:noWrap/>
            <w:vAlign w:val="center"/>
          </w:tcPr>
          <w:p w14:paraId="7F31492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1719" w:type="pct"/>
            <w:noWrap/>
            <w:vAlign w:val="center"/>
          </w:tcPr>
          <w:p w14:paraId="5271DE4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检验检测方法</w:t>
            </w:r>
          </w:p>
        </w:tc>
      </w:tr>
      <w:tr w14:paraId="7F86FA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43F2269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2277" w:type="dxa"/>
            <w:noWrap/>
            <w:vAlign w:val="center"/>
          </w:tcPr>
          <w:p w14:paraId="1FCA031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标志和说明</w:t>
            </w:r>
          </w:p>
        </w:tc>
        <w:tc>
          <w:tcPr>
            <w:tcW w:w="1638" w:type="pct"/>
            <w:vMerge w:val="restart"/>
            <w:noWrap/>
            <w:vAlign w:val="center"/>
          </w:tcPr>
          <w:p w14:paraId="151A445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4706.1-2005</w:t>
            </w:r>
          </w:p>
          <w:p w14:paraId="328A825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4706.14-2008</w:t>
            </w:r>
          </w:p>
          <w:p w14:paraId="4188CB7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4706.19-2008</w:t>
            </w:r>
          </w:p>
          <w:p w14:paraId="3AEAEC4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4706.1-2024</w:t>
            </w:r>
          </w:p>
          <w:p w14:paraId="3794F53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4706.14-2024</w:t>
            </w:r>
          </w:p>
          <w:p w14:paraId="6081141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4706.19-2024</w:t>
            </w:r>
          </w:p>
        </w:tc>
        <w:tc>
          <w:tcPr>
            <w:tcW w:w="1719" w:type="pct"/>
            <w:vMerge w:val="restart"/>
            <w:noWrap/>
            <w:vAlign w:val="center"/>
          </w:tcPr>
          <w:p w14:paraId="39B5908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4706.1-2005</w:t>
            </w:r>
          </w:p>
          <w:p w14:paraId="54C528A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4706.14-2008</w:t>
            </w:r>
          </w:p>
          <w:p w14:paraId="2E2E227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4706.19-2008</w:t>
            </w:r>
          </w:p>
          <w:p w14:paraId="5B7B3AB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4706.1-2024</w:t>
            </w:r>
          </w:p>
          <w:p w14:paraId="34A9269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4706.14-2024</w:t>
            </w:r>
          </w:p>
          <w:p w14:paraId="51939BF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4706.19-2024</w:t>
            </w:r>
          </w:p>
        </w:tc>
      </w:tr>
      <w:tr w14:paraId="56F10D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45DBC9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2277" w:type="dxa"/>
            <w:noWrap/>
            <w:vAlign w:val="center"/>
          </w:tcPr>
          <w:p w14:paraId="36BD3B5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对触及带电部件的防护</w:t>
            </w:r>
          </w:p>
        </w:tc>
        <w:tc>
          <w:tcPr>
            <w:tcW w:w="1638" w:type="pct"/>
            <w:vMerge w:val="continue"/>
            <w:noWrap/>
            <w:vAlign w:val="center"/>
          </w:tcPr>
          <w:p w14:paraId="79394407">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0EDA8B33">
            <w:pPr>
              <w:adjustRightInd w:val="0"/>
              <w:snapToGrid w:val="0"/>
              <w:jc w:val="center"/>
              <w:rPr>
                <w:rFonts w:ascii="方正仿宋_GBK" w:hAnsi="方正仿宋_GBK" w:eastAsia="方正仿宋_GBK" w:cs="方正仿宋_GBK"/>
                <w:sz w:val="24"/>
              </w:rPr>
            </w:pPr>
          </w:p>
        </w:tc>
      </w:tr>
      <w:tr w14:paraId="35A23A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AE348C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2277" w:type="dxa"/>
            <w:noWrap/>
            <w:vAlign w:val="center"/>
          </w:tcPr>
          <w:p w14:paraId="4C3B686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输入功率和电流</w:t>
            </w:r>
          </w:p>
        </w:tc>
        <w:tc>
          <w:tcPr>
            <w:tcW w:w="1638" w:type="pct"/>
            <w:vMerge w:val="continue"/>
            <w:noWrap/>
            <w:vAlign w:val="center"/>
          </w:tcPr>
          <w:p w14:paraId="1B512662">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CC0B299">
            <w:pPr>
              <w:adjustRightInd w:val="0"/>
              <w:snapToGrid w:val="0"/>
              <w:jc w:val="center"/>
              <w:rPr>
                <w:rFonts w:ascii="方正仿宋_GBK" w:hAnsi="方正仿宋_GBK" w:eastAsia="方正仿宋_GBK" w:cs="方正仿宋_GBK"/>
                <w:sz w:val="24"/>
              </w:rPr>
            </w:pPr>
          </w:p>
        </w:tc>
      </w:tr>
      <w:tr w14:paraId="5412C4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4659BBE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2277" w:type="dxa"/>
            <w:noWrap/>
            <w:vAlign w:val="center"/>
          </w:tcPr>
          <w:p w14:paraId="530257E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发热</w:t>
            </w:r>
          </w:p>
        </w:tc>
        <w:tc>
          <w:tcPr>
            <w:tcW w:w="1638" w:type="pct"/>
            <w:vMerge w:val="continue"/>
            <w:noWrap/>
            <w:vAlign w:val="center"/>
          </w:tcPr>
          <w:p w14:paraId="3579F79D">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0A2A8221">
            <w:pPr>
              <w:adjustRightInd w:val="0"/>
              <w:snapToGrid w:val="0"/>
              <w:jc w:val="center"/>
              <w:rPr>
                <w:rFonts w:ascii="方正仿宋_GBK" w:hAnsi="方正仿宋_GBK" w:eastAsia="方正仿宋_GBK" w:cs="方正仿宋_GBK"/>
                <w:sz w:val="24"/>
              </w:rPr>
            </w:pPr>
          </w:p>
        </w:tc>
      </w:tr>
      <w:tr w14:paraId="52CBEDD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7283CFB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2277" w:type="dxa"/>
            <w:noWrap/>
            <w:vAlign w:val="center"/>
          </w:tcPr>
          <w:p w14:paraId="6368E2F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工作温度下的泄漏电流和电气强度</w:t>
            </w:r>
          </w:p>
        </w:tc>
        <w:tc>
          <w:tcPr>
            <w:tcW w:w="1638" w:type="pct"/>
            <w:vMerge w:val="continue"/>
            <w:noWrap/>
            <w:vAlign w:val="center"/>
          </w:tcPr>
          <w:p w14:paraId="2AF97445">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300CC773">
            <w:pPr>
              <w:adjustRightInd w:val="0"/>
              <w:snapToGrid w:val="0"/>
              <w:jc w:val="center"/>
              <w:rPr>
                <w:rFonts w:ascii="方正仿宋_GBK" w:hAnsi="方正仿宋_GBK" w:eastAsia="方正仿宋_GBK" w:cs="方正仿宋_GBK"/>
                <w:sz w:val="24"/>
              </w:rPr>
            </w:pPr>
          </w:p>
        </w:tc>
      </w:tr>
      <w:tr w14:paraId="355275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6B3EFDD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2277" w:type="dxa"/>
            <w:noWrap/>
            <w:vAlign w:val="center"/>
          </w:tcPr>
          <w:p w14:paraId="18F1B53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耐潮湿</w:t>
            </w:r>
          </w:p>
        </w:tc>
        <w:tc>
          <w:tcPr>
            <w:tcW w:w="1638" w:type="pct"/>
            <w:vMerge w:val="continue"/>
            <w:noWrap/>
            <w:vAlign w:val="center"/>
          </w:tcPr>
          <w:p w14:paraId="78938A0D">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03960DDF">
            <w:pPr>
              <w:adjustRightInd w:val="0"/>
              <w:snapToGrid w:val="0"/>
              <w:jc w:val="center"/>
              <w:rPr>
                <w:rFonts w:ascii="方正仿宋_GBK" w:hAnsi="方正仿宋_GBK" w:eastAsia="方正仿宋_GBK" w:cs="方正仿宋_GBK"/>
                <w:sz w:val="24"/>
              </w:rPr>
            </w:pPr>
          </w:p>
        </w:tc>
      </w:tr>
      <w:tr w14:paraId="5546BB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200150A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2277" w:type="dxa"/>
            <w:noWrap/>
            <w:vAlign w:val="center"/>
          </w:tcPr>
          <w:p w14:paraId="6A7E086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泄漏电流和电气强度</w:t>
            </w:r>
          </w:p>
        </w:tc>
        <w:tc>
          <w:tcPr>
            <w:tcW w:w="1638" w:type="pct"/>
            <w:vMerge w:val="continue"/>
            <w:noWrap/>
            <w:vAlign w:val="center"/>
          </w:tcPr>
          <w:p w14:paraId="5008AEEC">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088E29D4">
            <w:pPr>
              <w:adjustRightInd w:val="0"/>
              <w:snapToGrid w:val="0"/>
              <w:jc w:val="center"/>
              <w:rPr>
                <w:rFonts w:ascii="方正仿宋_GBK" w:hAnsi="方正仿宋_GBK" w:eastAsia="方正仿宋_GBK" w:cs="方正仿宋_GBK"/>
                <w:sz w:val="24"/>
              </w:rPr>
            </w:pPr>
          </w:p>
        </w:tc>
      </w:tr>
      <w:tr w14:paraId="45734F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0E65B1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2277" w:type="dxa"/>
            <w:noWrap/>
            <w:vAlign w:val="center"/>
          </w:tcPr>
          <w:p w14:paraId="49921B9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稳定性和机械危险</w:t>
            </w:r>
          </w:p>
        </w:tc>
        <w:tc>
          <w:tcPr>
            <w:tcW w:w="1638" w:type="pct"/>
            <w:vMerge w:val="continue"/>
            <w:noWrap/>
            <w:vAlign w:val="center"/>
          </w:tcPr>
          <w:p w14:paraId="74C9D87B">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71F5C8A8">
            <w:pPr>
              <w:adjustRightInd w:val="0"/>
              <w:snapToGrid w:val="0"/>
              <w:jc w:val="center"/>
              <w:rPr>
                <w:rFonts w:ascii="方正仿宋_GBK" w:hAnsi="方正仿宋_GBK" w:eastAsia="方正仿宋_GBK" w:cs="方正仿宋_GBK"/>
                <w:sz w:val="24"/>
              </w:rPr>
            </w:pPr>
          </w:p>
        </w:tc>
      </w:tr>
      <w:tr w14:paraId="56DD6A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62625D6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2277" w:type="dxa"/>
            <w:noWrap/>
            <w:vAlign w:val="center"/>
          </w:tcPr>
          <w:p w14:paraId="33C21F3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机械强度</w:t>
            </w:r>
          </w:p>
        </w:tc>
        <w:tc>
          <w:tcPr>
            <w:tcW w:w="1638" w:type="pct"/>
            <w:vMerge w:val="continue"/>
            <w:noWrap/>
            <w:vAlign w:val="center"/>
          </w:tcPr>
          <w:p w14:paraId="30740736">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48434A65">
            <w:pPr>
              <w:adjustRightInd w:val="0"/>
              <w:snapToGrid w:val="0"/>
              <w:jc w:val="center"/>
              <w:rPr>
                <w:rFonts w:ascii="方正仿宋_GBK" w:hAnsi="方正仿宋_GBK" w:eastAsia="方正仿宋_GBK" w:cs="方正仿宋_GBK"/>
                <w:sz w:val="24"/>
              </w:rPr>
            </w:pPr>
          </w:p>
        </w:tc>
      </w:tr>
      <w:tr w14:paraId="717D1C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76BBC1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2277" w:type="dxa"/>
            <w:noWrap/>
            <w:vAlign w:val="center"/>
          </w:tcPr>
          <w:p w14:paraId="763F3E3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结构</w:t>
            </w:r>
          </w:p>
        </w:tc>
        <w:tc>
          <w:tcPr>
            <w:tcW w:w="1638" w:type="pct"/>
            <w:vMerge w:val="continue"/>
            <w:noWrap/>
            <w:vAlign w:val="center"/>
          </w:tcPr>
          <w:p w14:paraId="41CDE4D4">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291D4C4E">
            <w:pPr>
              <w:adjustRightInd w:val="0"/>
              <w:snapToGrid w:val="0"/>
              <w:jc w:val="center"/>
              <w:rPr>
                <w:rFonts w:ascii="方正仿宋_GBK" w:hAnsi="方正仿宋_GBK" w:eastAsia="方正仿宋_GBK" w:cs="方正仿宋_GBK"/>
                <w:sz w:val="24"/>
              </w:rPr>
            </w:pPr>
          </w:p>
        </w:tc>
      </w:tr>
      <w:tr w14:paraId="5B6336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B0485E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2277" w:type="dxa"/>
            <w:noWrap/>
            <w:vAlign w:val="center"/>
          </w:tcPr>
          <w:p w14:paraId="45C647E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内部布线</w:t>
            </w:r>
          </w:p>
        </w:tc>
        <w:tc>
          <w:tcPr>
            <w:tcW w:w="1638" w:type="pct"/>
            <w:vMerge w:val="continue"/>
            <w:noWrap/>
          </w:tcPr>
          <w:p w14:paraId="6125B994">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C1F3149">
            <w:pPr>
              <w:adjustRightInd w:val="0"/>
              <w:snapToGrid w:val="0"/>
              <w:jc w:val="center"/>
              <w:rPr>
                <w:rFonts w:ascii="方正仿宋_GBK" w:hAnsi="方正仿宋_GBK" w:eastAsia="方正仿宋_GBK" w:cs="方正仿宋_GBK"/>
                <w:sz w:val="24"/>
              </w:rPr>
            </w:pPr>
          </w:p>
        </w:tc>
      </w:tr>
      <w:tr w14:paraId="0C9C68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0EED82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2277" w:type="dxa"/>
            <w:noWrap/>
            <w:vAlign w:val="center"/>
          </w:tcPr>
          <w:p w14:paraId="1CDEE7C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电源连接和外部软线</w:t>
            </w:r>
          </w:p>
        </w:tc>
        <w:tc>
          <w:tcPr>
            <w:tcW w:w="1638" w:type="pct"/>
            <w:vMerge w:val="continue"/>
            <w:noWrap/>
            <w:vAlign w:val="center"/>
          </w:tcPr>
          <w:p w14:paraId="2C0A6E76">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D85E4A5">
            <w:pPr>
              <w:adjustRightInd w:val="0"/>
              <w:snapToGrid w:val="0"/>
              <w:jc w:val="center"/>
              <w:rPr>
                <w:rFonts w:ascii="方正仿宋_GBK" w:hAnsi="方正仿宋_GBK" w:eastAsia="方正仿宋_GBK" w:cs="方正仿宋_GBK"/>
                <w:sz w:val="24"/>
              </w:rPr>
            </w:pPr>
          </w:p>
        </w:tc>
      </w:tr>
      <w:tr w14:paraId="6BD9A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2A5004C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2277" w:type="dxa"/>
            <w:noWrap/>
            <w:vAlign w:val="center"/>
          </w:tcPr>
          <w:p w14:paraId="017A534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外部导线用接线端子/外部导体用接线端子</w:t>
            </w:r>
          </w:p>
        </w:tc>
        <w:tc>
          <w:tcPr>
            <w:tcW w:w="1638" w:type="pct"/>
            <w:vMerge w:val="continue"/>
            <w:noWrap/>
            <w:vAlign w:val="center"/>
          </w:tcPr>
          <w:p w14:paraId="4E1476C0">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258148F6">
            <w:pPr>
              <w:adjustRightInd w:val="0"/>
              <w:snapToGrid w:val="0"/>
              <w:jc w:val="center"/>
              <w:rPr>
                <w:rFonts w:ascii="方正仿宋_GBK" w:hAnsi="方正仿宋_GBK" w:eastAsia="方正仿宋_GBK" w:cs="方正仿宋_GBK"/>
                <w:sz w:val="24"/>
              </w:rPr>
            </w:pPr>
          </w:p>
        </w:tc>
      </w:tr>
      <w:tr w14:paraId="5E01E26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15D09B2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2277" w:type="dxa"/>
            <w:noWrap/>
            <w:vAlign w:val="center"/>
          </w:tcPr>
          <w:p w14:paraId="415D8C3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接地措施</w:t>
            </w:r>
          </w:p>
        </w:tc>
        <w:tc>
          <w:tcPr>
            <w:tcW w:w="1638" w:type="pct"/>
            <w:vMerge w:val="continue"/>
            <w:noWrap/>
            <w:vAlign w:val="center"/>
          </w:tcPr>
          <w:p w14:paraId="6C170009">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28C01062">
            <w:pPr>
              <w:adjustRightInd w:val="0"/>
              <w:snapToGrid w:val="0"/>
              <w:jc w:val="center"/>
              <w:rPr>
                <w:rFonts w:ascii="方正仿宋_GBK" w:hAnsi="方正仿宋_GBK" w:eastAsia="方正仿宋_GBK" w:cs="方正仿宋_GBK"/>
                <w:sz w:val="24"/>
              </w:rPr>
            </w:pPr>
          </w:p>
        </w:tc>
      </w:tr>
      <w:tr w14:paraId="05DC77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1EC680FC">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15</w:t>
            </w:r>
          </w:p>
        </w:tc>
        <w:tc>
          <w:tcPr>
            <w:tcW w:w="2277" w:type="dxa"/>
            <w:noWrap/>
            <w:vAlign w:val="center"/>
          </w:tcPr>
          <w:p w14:paraId="0D05AE9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螺钉和连接</w:t>
            </w:r>
          </w:p>
        </w:tc>
        <w:tc>
          <w:tcPr>
            <w:tcW w:w="1638" w:type="pct"/>
            <w:vMerge w:val="continue"/>
            <w:noWrap/>
            <w:vAlign w:val="center"/>
          </w:tcPr>
          <w:p w14:paraId="070B2780">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47D83D42">
            <w:pPr>
              <w:adjustRightInd w:val="0"/>
              <w:snapToGrid w:val="0"/>
              <w:jc w:val="center"/>
              <w:rPr>
                <w:rFonts w:ascii="方正仿宋_GBK" w:hAnsi="方正仿宋_GBK" w:eastAsia="方正仿宋_GBK" w:cs="方正仿宋_GBK"/>
                <w:sz w:val="24"/>
              </w:rPr>
            </w:pPr>
          </w:p>
        </w:tc>
      </w:tr>
      <w:tr w14:paraId="687D52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77836B4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16</w:t>
            </w:r>
          </w:p>
        </w:tc>
        <w:tc>
          <w:tcPr>
            <w:tcW w:w="2277" w:type="dxa"/>
            <w:noWrap/>
            <w:vAlign w:val="center"/>
          </w:tcPr>
          <w:p w14:paraId="121AF3F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电气间隙、爬电距离和固体绝缘</w:t>
            </w:r>
          </w:p>
        </w:tc>
        <w:tc>
          <w:tcPr>
            <w:tcW w:w="1638" w:type="pct"/>
            <w:vMerge w:val="continue"/>
            <w:noWrap/>
            <w:vAlign w:val="center"/>
          </w:tcPr>
          <w:p w14:paraId="4E2A0F6C">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686AE84">
            <w:pPr>
              <w:adjustRightInd w:val="0"/>
              <w:snapToGrid w:val="0"/>
              <w:jc w:val="center"/>
              <w:rPr>
                <w:rFonts w:ascii="方正仿宋_GBK" w:hAnsi="方正仿宋_GBK" w:eastAsia="方正仿宋_GBK" w:cs="方正仿宋_GBK"/>
                <w:sz w:val="24"/>
              </w:rPr>
            </w:pPr>
          </w:p>
        </w:tc>
      </w:tr>
    </w:tbl>
    <w:p w14:paraId="76CDE426">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检验方法包括相关产品标准及试验方法标准。</w:t>
      </w:r>
    </w:p>
    <w:p w14:paraId="18162AE0">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凡是注日期的文件，其随后所有的修改单（不包括勘误的内容）或修订版不适用于本细则。凡是不注日期的文件，其最新版本适用于本细则。</w:t>
      </w:r>
    </w:p>
    <w:p w14:paraId="7C31F7A2">
      <w:pPr>
        <w:spacing w:line="600" w:lineRule="exact"/>
        <w:ind w:firstLine="640" w:firstLineChars="200"/>
        <w:outlineLvl w:val="0"/>
        <w:rPr>
          <w:rFonts w:ascii="Times New Roman" w:hAnsi="Times New Roman" w:eastAsia="方正仿宋_GBK"/>
          <w:color w:val="000000"/>
          <w:kern w:val="0"/>
          <w:sz w:val="32"/>
          <w:szCs w:val="32"/>
          <w:shd w:val="clear" w:color="auto" w:fill="FFFFFF"/>
        </w:rPr>
      </w:pPr>
      <w:r>
        <w:rPr>
          <w:rFonts w:ascii="Times New Roman" w:hAnsi="Times New Roman" w:eastAsia="黑体"/>
          <w:bCs/>
          <w:color w:val="000000"/>
          <w:sz w:val="32"/>
          <w:szCs w:val="32"/>
        </w:rPr>
        <w:t>4.判定规则</w:t>
      </w:r>
    </w:p>
    <w:p w14:paraId="271D39F0">
      <w:pPr>
        <w:spacing w:line="580" w:lineRule="exact"/>
        <w:ind w:firstLine="643" w:firstLineChars="20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4.1</w:t>
      </w:r>
      <w:r>
        <w:rPr>
          <w:rFonts w:ascii="Times New Roman" w:hAnsi="Times New Roman" w:eastAsia="方正仿宋_GBK"/>
          <w:b/>
          <w:bCs/>
          <w:color w:val="000000"/>
          <w:sz w:val="32"/>
          <w:szCs w:val="32"/>
        </w:rPr>
        <w:t>依据标准</w:t>
      </w:r>
    </w:p>
    <w:p w14:paraId="4AB6A8EE">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4706.1-2005《家用和类似用途电器的安全 第1部分：通用要求》</w:t>
      </w:r>
    </w:p>
    <w:p w14:paraId="4EFA6512">
      <w:pPr>
        <w:adjustRightInd w:val="0"/>
        <w:snapToGrid w:val="0"/>
        <w:ind w:firstLine="640" w:firstLineChars="200"/>
        <w:jc w:val="left"/>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4706.14-2008《家用和类似用途电器的安全 烤架、面包片烘烤器及类似用途便携式烹饪器具的特殊要求》</w:t>
      </w:r>
    </w:p>
    <w:p w14:paraId="4D6881F9">
      <w:pPr>
        <w:adjustRightInd w:val="0"/>
        <w:snapToGrid w:val="0"/>
        <w:ind w:firstLine="640" w:firstLineChars="200"/>
        <w:jc w:val="left"/>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4706.19-2008《家用和类似用途电器的安全 液体加热器的特殊要求》</w:t>
      </w:r>
    </w:p>
    <w:p w14:paraId="3A01B25B">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4706.1-2024《家用和类似用途电器的安全 第1部分：通用要求》</w:t>
      </w:r>
    </w:p>
    <w:p w14:paraId="7FEFD35A">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4706.14-2024《家用和类似用途电器的安全 第14部分：烤架、面包片烘烤器及类似用途便携式烹饪器具的特殊要求》</w:t>
      </w:r>
    </w:p>
    <w:p w14:paraId="4DEFCD4C">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4706.19-2024《家用和类似用途电器的安全 第19部分：液体加热器的特殊要求》</w:t>
      </w:r>
    </w:p>
    <w:p w14:paraId="641B5DF3">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现行有效的企业标准、团体标准、地方标准及产品明示质量要求</w:t>
      </w:r>
    </w:p>
    <w:p w14:paraId="65F5F43E">
      <w:pPr>
        <w:spacing w:line="580" w:lineRule="exact"/>
        <w:ind w:firstLine="643" w:firstLineChars="200"/>
        <w:outlineLvl w:val="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4.2</w:t>
      </w:r>
      <w:r>
        <w:rPr>
          <w:rFonts w:ascii="Times New Roman" w:hAnsi="Times New Roman" w:eastAsia="方正仿宋_GBK"/>
          <w:b/>
          <w:bCs/>
          <w:color w:val="000000"/>
          <w:sz w:val="32"/>
          <w:szCs w:val="32"/>
        </w:rPr>
        <w:t>判定原则</w:t>
      </w:r>
    </w:p>
    <w:p w14:paraId="06951C3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经检验，检验项目全部合格，判定为被抽查产品所检项目未发现不合格；检验项目中任一项或一项以上不合格，判定为被抽查产品不合格。</w:t>
      </w:r>
    </w:p>
    <w:p w14:paraId="2B32454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若被检产品明示的质量要求高于本细则中检验项目依据的标准要求时，应按被检产品明示的质量要求判定。</w:t>
      </w:r>
    </w:p>
    <w:p w14:paraId="74FCA3C3">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若被检产品明示的质量要求低于本细则中检验项目依据的强制性标准要求时，应按照强制性标准要求判定。</w:t>
      </w:r>
    </w:p>
    <w:p w14:paraId="1092C6F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若被检产品明示的质量要求低于或包含本细则中检验项目依据的推荐性标准要求时，应以被检产品明示的质量要求判定，但应在检验报告备注中进行说明。</w:t>
      </w:r>
    </w:p>
    <w:p w14:paraId="61081F0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若被检产品明示的质量要求缺少本细则中检验项目依据的强制性标准要求时，应按照强制性标准要求判定。</w:t>
      </w:r>
    </w:p>
    <w:p w14:paraId="07FA52C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若被检产品明示的质量要求缺少本细则中检验项目依据的推荐性标准要求时，该项目不参与判定，但应在检验报告备注中进行说明。</w:t>
      </w:r>
    </w:p>
    <w:p w14:paraId="632D6D4E">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5.异议处理</w:t>
      </w:r>
    </w:p>
    <w:p w14:paraId="11E16430">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5.1对监督抽查程序有异议的，由任务下达部门核查相关证据后维持或者撤销原检验结果。</w:t>
      </w:r>
    </w:p>
    <w:p w14:paraId="6B0D2B59">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654A08F">
      <w:pPr>
        <w:spacing w:line="580" w:lineRule="exact"/>
        <w:ind w:firstLine="640" w:firstLineChars="200"/>
        <w:rPr>
          <w:rFonts w:ascii="Times New Roman" w:hAnsi="Times New Roman" w:eastAsia="方正仿宋_GBK"/>
          <w:strike/>
          <w:color w:val="000000"/>
          <w:sz w:val="32"/>
          <w:szCs w:val="32"/>
        </w:rPr>
      </w:pPr>
      <w:r>
        <w:rPr>
          <w:rFonts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D22FFB-B4EB-4BC1-8600-8CB87BF810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1D363410-C526-4266-901E-24F7AEC722E6}"/>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431871C4-21B3-4477-9B5F-05EADA160728}"/>
  </w:font>
  <w:font w:name="楷体_GB2312">
    <w:altName w:val="楷体"/>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DC4E4631-4898-47C5-81C0-59C0CB46E93D}"/>
  </w:font>
  <w:font w:name="方正黑体_GBK">
    <w:panose1 w:val="02010600010101010101"/>
    <w:charset w:val="86"/>
    <w:family w:val="script"/>
    <w:pitch w:val="default"/>
    <w:sig w:usb0="00000001" w:usb1="080E0000" w:usb2="00000000" w:usb3="00000000" w:csb0="00040000" w:csb1="00000000"/>
    <w:embedRegular r:id="rId5" w:fontKey="{7B13F9C4-0346-46B6-9A24-0C416D1472EA}"/>
  </w:font>
  <w:font w:name="WPSEMBED9">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AC38E">
    <w:pPr>
      <w:pStyle w:val="3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4951593">
                <w:pPr>
                  <w:pStyle w:val="32"/>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6E58"/>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117"/>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822A6D"/>
    <w:rsid w:val="14987A16"/>
    <w:rsid w:val="149B6BF0"/>
    <w:rsid w:val="14C64543"/>
    <w:rsid w:val="14E1570A"/>
    <w:rsid w:val="15705885"/>
    <w:rsid w:val="15A93B45"/>
    <w:rsid w:val="1670520E"/>
    <w:rsid w:val="16F11C88"/>
    <w:rsid w:val="183660B4"/>
    <w:rsid w:val="18856C25"/>
    <w:rsid w:val="19E21628"/>
    <w:rsid w:val="1A7A7A29"/>
    <w:rsid w:val="1A7B7DF9"/>
    <w:rsid w:val="1B0F7456"/>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B521649"/>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63746"/>
    <w:rsid w:val="528C7FEF"/>
    <w:rsid w:val="53354E63"/>
    <w:rsid w:val="538F1A33"/>
    <w:rsid w:val="539861E6"/>
    <w:rsid w:val="53B31126"/>
    <w:rsid w:val="542D7F38"/>
    <w:rsid w:val="54633D11"/>
    <w:rsid w:val="54661FE4"/>
    <w:rsid w:val="55142EB5"/>
    <w:rsid w:val="56F07273"/>
    <w:rsid w:val="56FB1310"/>
    <w:rsid w:val="57F36F9A"/>
    <w:rsid w:val="58243433"/>
    <w:rsid w:val="5834492C"/>
    <w:rsid w:val="583771DE"/>
    <w:rsid w:val="58AF6790"/>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1320</Words>
  <Characters>1579</Characters>
  <Lines>3</Lines>
  <Paragraphs>3</Paragraphs>
  <TotalTime>0</TotalTime>
  <ScaleCrop>false</ScaleCrop>
  <LinksUpToDate>false</LinksUpToDate>
  <CharactersWithSpaces>1603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苏州质检院</cp:lastModifiedBy>
  <cp:lastPrinted>2022-06-23T01:03:00Z</cp:lastPrinted>
  <dcterms:modified xsi:type="dcterms:W3CDTF">2026-04-22T07:24:05Z</dcterms:modified>
  <dc:title>XXXX年第X批风险监测实施方案</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eyJoZGlkIjoiNGIwZTNmN2IwMzE2MDI5YTNjMDFhYWNlYTE3OTdlZDAiLCJ1c2VySWQiOiI3NTU2Nzk2NTkifQ==</vt:lpwstr>
  </property>
</Properties>
</file>