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A8F1E">
      <w:pPr>
        <w:autoSpaceDE/>
        <w:autoSpaceDN/>
        <w:snapToGrid w:val="0"/>
        <w:spacing w:line="580" w:lineRule="exact"/>
        <w:jc w:val="center"/>
        <w:rPr>
          <w:rFonts w:hint="eastAsia"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eastAsia="zh-CN" w:bidi="ar-SA"/>
        </w:rPr>
        <w:t>2026年</w:t>
      </w:r>
      <w:r>
        <w:rPr>
          <w:rFonts w:hint="eastAsia" w:ascii="方正小标宋_GBK" w:hAnsi="华文仿宋" w:eastAsia="方正小标宋_GBK" w:cs="华文仿宋"/>
          <w:bCs/>
          <w:color w:val="000000"/>
          <w:kern w:val="2"/>
          <w:sz w:val="44"/>
          <w:szCs w:val="44"/>
          <w:lang w:val="en-US" w:bidi="ar-SA"/>
        </w:rPr>
        <w:t>昆山市</w:t>
      </w:r>
      <w:r>
        <w:rPr>
          <w:rFonts w:hint="eastAsia" w:ascii="方正小标宋_GBK" w:hAnsi="华文仿宋" w:eastAsia="方正小标宋_GBK" w:cs="华文仿宋"/>
          <w:bCs/>
          <w:color w:val="000000"/>
          <w:kern w:val="2"/>
          <w:sz w:val="44"/>
          <w:szCs w:val="44"/>
          <w:lang w:val="en-US" w:eastAsia="zh-CN" w:bidi="ar-SA"/>
        </w:rPr>
        <w:t>配装眼镜</w:t>
      </w:r>
      <w:r>
        <w:rPr>
          <w:rFonts w:hint="eastAsia" w:ascii="方正小标宋_GBK" w:hAnsi="华文仿宋" w:eastAsia="方正小标宋_GBK" w:cs="华文仿宋"/>
          <w:bCs/>
          <w:color w:val="000000"/>
          <w:kern w:val="2"/>
          <w:sz w:val="44"/>
          <w:szCs w:val="44"/>
          <w:lang w:val="en-US" w:bidi="ar-SA"/>
        </w:rPr>
        <w:t>产品质量监督抽查实施细则</w:t>
      </w:r>
    </w:p>
    <w:p w14:paraId="5EAE3411">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14:paraId="559ACC02">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1.范围</w:t>
      </w:r>
    </w:p>
    <w:p w14:paraId="6461C388">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本细则适用于</w:t>
      </w:r>
      <w:r>
        <w:rPr>
          <w:rFonts w:hint="eastAsia" w:ascii="仿宋" w:hAnsi="仿宋" w:eastAsia="仿宋" w:cs="仿宋"/>
          <w:kern w:val="2"/>
          <w:sz w:val="32"/>
          <w:szCs w:val="32"/>
          <w:lang w:val="en-US" w:eastAsia="zh-CN" w:bidi="ar-SA"/>
        </w:rPr>
        <w:t>昆山市</w:t>
      </w:r>
      <w:r>
        <w:rPr>
          <w:rFonts w:hint="eastAsia" w:ascii="仿宋" w:hAnsi="仿宋" w:eastAsia="仿宋" w:cs="仿宋"/>
          <w:kern w:val="2"/>
          <w:sz w:val="32"/>
          <w:szCs w:val="32"/>
          <w:lang w:val="en-US" w:bidi="ar-SA"/>
        </w:rPr>
        <w:t>市场监督管理局组织的</w:t>
      </w:r>
      <w:r>
        <w:rPr>
          <w:rFonts w:hint="eastAsia" w:ascii="仿宋" w:hAnsi="仿宋" w:eastAsia="仿宋" w:cs="仿宋"/>
          <w:kern w:val="2"/>
          <w:sz w:val="32"/>
          <w:szCs w:val="32"/>
          <w:lang w:val="en-US" w:eastAsia="zh-CN" w:bidi="ar-SA"/>
        </w:rPr>
        <w:t>配装眼镜</w:t>
      </w:r>
      <w:r>
        <w:rPr>
          <w:rFonts w:hint="eastAsia" w:ascii="仿宋" w:hAnsi="仿宋" w:eastAsia="仿宋" w:cs="仿宋"/>
          <w:kern w:val="2"/>
          <w:sz w:val="32"/>
          <w:szCs w:val="32"/>
          <w:lang w:val="en-US" w:bidi="ar-SA"/>
        </w:rPr>
        <w:t>产品质量监督抽查</w:t>
      </w:r>
      <w:r>
        <w:rPr>
          <w:rFonts w:hint="eastAsia" w:ascii="仿宋" w:hAnsi="仿宋" w:eastAsia="仿宋" w:cs="仿宋"/>
          <w:kern w:val="2"/>
          <w:sz w:val="32"/>
          <w:szCs w:val="32"/>
          <w:lang w:val="en-US" w:eastAsia="zh-CN" w:bidi="ar-SA"/>
        </w:rPr>
        <w:t>检验</w:t>
      </w:r>
      <w:r>
        <w:rPr>
          <w:rFonts w:hint="eastAsia" w:ascii="仿宋" w:hAnsi="仿宋" w:eastAsia="仿宋" w:cs="仿宋"/>
          <w:kern w:val="2"/>
          <w:sz w:val="32"/>
          <w:szCs w:val="32"/>
          <w:lang w:val="en-US" w:bidi="ar-SA"/>
        </w:rPr>
        <w:t>。本细则规定了此产品的抽样方法、检验依据、检验项目、检验方法、判定原则、异议处理及复检。</w:t>
      </w:r>
    </w:p>
    <w:p w14:paraId="571E3C3F">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2.抽样方法</w:t>
      </w:r>
    </w:p>
    <w:p w14:paraId="62E9DB23">
      <w:pPr>
        <w:autoSpaceDE/>
        <w:autoSpaceDN/>
        <w:spacing w:line="580" w:lineRule="exact"/>
        <w:ind w:firstLine="643"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1生产企业、实体店抽样</w:t>
      </w:r>
    </w:p>
    <w:p w14:paraId="71E6D97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在受检企业的成品仓库或者其确认场所，随机抽取有产品质量检验合格证明或者其他形式表明合格的待销产品</w:t>
      </w:r>
      <w:r>
        <w:rPr>
          <w:rFonts w:hint="eastAsia" w:ascii="仿宋" w:hAnsi="仿宋" w:eastAsia="仿宋" w:cs="仿宋"/>
          <w:kern w:val="2"/>
          <w:sz w:val="32"/>
          <w:szCs w:val="32"/>
          <w:lang w:val="en-US" w:eastAsia="zh-CN" w:bidi="ar-SA"/>
        </w:rPr>
        <w:t>，抽样基数应满足抽样要求</w:t>
      </w:r>
      <w:r>
        <w:rPr>
          <w:rFonts w:hint="eastAsia" w:ascii="仿宋" w:hAnsi="仿宋" w:eastAsia="仿宋" w:cs="仿宋"/>
          <w:kern w:val="2"/>
          <w:sz w:val="32"/>
          <w:szCs w:val="32"/>
          <w:lang w:val="en-US" w:bidi="ar-SA"/>
        </w:rPr>
        <w:t>。</w:t>
      </w:r>
      <w:r>
        <w:rPr>
          <w:rFonts w:hint="eastAsia" w:ascii="仿宋" w:hAnsi="仿宋" w:eastAsia="仿宋" w:cs="仿宋"/>
          <w:kern w:val="2"/>
          <w:sz w:val="32"/>
          <w:szCs w:val="32"/>
          <w:lang w:val="en-US" w:eastAsia="zh-CN" w:bidi="ar-SA"/>
        </w:rPr>
        <w:t>抽样过程均需拍照留证。一经抽样，立即封样，任何人不得调换。</w:t>
      </w:r>
    </w:p>
    <w:p w14:paraId="17AE8D1B">
      <w:pPr>
        <w:autoSpaceDE/>
        <w:autoSpaceDN/>
        <w:spacing w:line="580" w:lineRule="exact"/>
        <w:ind w:firstLine="643" w:firstLineChars="200"/>
        <w:jc w:val="both"/>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bidi="ar-SA"/>
        </w:rPr>
        <w:t>2.</w:t>
      </w:r>
      <w:r>
        <w:rPr>
          <w:rFonts w:hint="eastAsia" w:ascii="仿宋" w:hAnsi="仿宋" w:eastAsia="仿宋" w:cs="仿宋"/>
          <w:b/>
          <w:bCs/>
          <w:kern w:val="2"/>
          <w:sz w:val="32"/>
          <w:szCs w:val="32"/>
          <w:lang w:val="en-US" w:eastAsia="zh-CN" w:bidi="ar-SA"/>
        </w:rPr>
        <w:t>2电商平台采样</w:t>
      </w:r>
    </w:p>
    <w:p w14:paraId="72A054C6">
      <w:pPr>
        <w:autoSpaceDE/>
        <w:autoSpaceDN/>
        <w:spacing w:line="58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bidi="ar-SA"/>
        </w:rPr>
        <w:t>抽样数量为</w:t>
      </w:r>
      <w:r>
        <w:rPr>
          <w:rFonts w:hint="eastAsia" w:ascii="仿宋" w:hAnsi="仿宋" w:eastAsia="仿宋" w:cs="仿宋"/>
          <w:kern w:val="2"/>
          <w:sz w:val="32"/>
          <w:szCs w:val="32"/>
          <w:lang w:val="en-US" w:eastAsia="zh-CN" w:bidi="ar-SA"/>
        </w:rPr>
        <w:t>1副</w:t>
      </w:r>
      <w:r>
        <w:rPr>
          <w:rFonts w:hint="eastAsia" w:ascii="仿宋" w:hAnsi="仿宋" w:eastAsia="仿宋" w:cs="仿宋"/>
          <w:kern w:val="2"/>
          <w:sz w:val="32"/>
          <w:szCs w:val="32"/>
          <w:lang w:val="en-US" w:bidi="ar-SA"/>
        </w:rPr>
        <w:t>，其中</w:t>
      </w:r>
      <w:r>
        <w:rPr>
          <w:rFonts w:hint="eastAsia" w:ascii="仿宋" w:hAnsi="仿宋" w:eastAsia="仿宋" w:cs="仿宋"/>
          <w:kern w:val="2"/>
          <w:sz w:val="32"/>
          <w:szCs w:val="32"/>
          <w:lang w:val="en-US" w:eastAsia="zh-CN" w:bidi="ar-SA"/>
        </w:rPr>
        <w:t>1副作为检验样品，复检在原样进行。</w:t>
      </w:r>
    </w:p>
    <w:p w14:paraId="5D76362E">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3.检验依据</w:t>
      </w:r>
    </w:p>
    <w:p w14:paraId="77C1FCC0">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表1 配装眼镜产品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1"/>
        <w:gridCol w:w="2936"/>
        <w:gridCol w:w="2571"/>
        <w:gridCol w:w="2352"/>
      </w:tblGrid>
      <w:tr w14:paraId="63C55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42208D77">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936" w:type="dxa"/>
            <w:noWrap w:val="0"/>
            <w:vAlign w:val="center"/>
          </w:tcPr>
          <w:p w14:paraId="213A98E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571" w:type="dxa"/>
            <w:noWrap w:val="0"/>
            <w:vAlign w:val="center"/>
          </w:tcPr>
          <w:p w14:paraId="58221C8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352" w:type="dxa"/>
            <w:noWrap w:val="0"/>
            <w:vAlign w:val="center"/>
          </w:tcPr>
          <w:p w14:paraId="4882135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4FDA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7ED5653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936" w:type="dxa"/>
            <w:noWrap w:val="0"/>
            <w:vAlign w:val="center"/>
          </w:tcPr>
          <w:p w14:paraId="20D4E6C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主子午面一球镜顶焦度偏差</w:t>
            </w:r>
          </w:p>
        </w:tc>
        <w:tc>
          <w:tcPr>
            <w:tcW w:w="2571" w:type="dxa"/>
            <w:noWrap w:val="0"/>
            <w:vAlign w:val="center"/>
          </w:tcPr>
          <w:p w14:paraId="15F132CA">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c>
          <w:tcPr>
            <w:tcW w:w="2352" w:type="dxa"/>
            <w:noWrap w:val="0"/>
            <w:vAlign w:val="center"/>
          </w:tcPr>
          <w:p w14:paraId="2309E5F1">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45184-2024</w:t>
            </w:r>
          </w:p>
        </w:tc>
      </w:tr>
      <w:tr w14:paraId="00AF8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039E8B3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936" w:type="dxa"/>
            <w:noWrap w:val="0"/>
            <w:vAlign w:val="center"/>
          </w:tcPr>
          <w:p w14:paraId="2548EF2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主子午面二球镜顶焦度偏差</w:t>
            </w:r>
          </w:p>
        </w:tc>
        <w:tc>
          <w:tcPr>
            <w:tcW w:w="2571" w:type="dxa"/>
            <w:noWrap w:val="0"/>
            <w:vAlign w:val="center"/>
          </w:tcPr>
          <w:p w14:paraId="636F9959">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c>
          <w:tcPr>
            <w:tcW w:w="2352" w:type="dxa"/>
            <w:noWrap w:val="0"/>
            <w:vAlign w:val="center"/>
          </w:tcPr>
          <w:p w14:paraId="611FB57D">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45184-2024</w:t>
            </w:r>
          </w:p>
        </w:tc>
      </w:tr>
      <w:tr w14:paraId="437EF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02CAC41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936" w:type="dxa"/>
            <w:noWrap w:val="0"/>
            <w:vAlign w:val="center"/>
          </w:tcPr>
          <w:p w14:paraId="1A4024B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柱镜顶焦度偏差</w:t>
            </w:r>
          </w:p>
        </w:tc>
        <w:tc>
          <w:tcPr>
            <w:tcW w:w="2571" w:type="dxa"/>
            <w:noWrap w:val="0"/>
            <w:vAlign w:val="center"/>
          </w:tcPr>
          <w:p w14:paraId="1EF8F12E">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c>
          <w:tcPr>
            <w:tcW w:w="2352" w:type="dxa"/>
            <w:noWrap w:val="0"/>
            <w:vAlign w:val="center"/>
          </w:tcPr>
          <w:p w14:paraId="431C90B1">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45184-2024</w:t>
            </w:r>
          </w:p>
        </w:tc>
      </w:tr>
      <w:tr w14:paraId="275D3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52DE72D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936" w:type="dxa"/>
            <w:noWrap w:val="0"/>
            <w:vAlign w:val="center"/>
          </w:tcPr>
          <w:p w14:paraId="243CCBD3">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光学中心水平距离偏差</w:t>
            </w:r>
          </w:p>
        </w:tc>
        <w:tc>
          <w:tcPr>
            <w:tcW w:w="2571" w:type="dxa"/>
            <w:noWrap w:val="0"/>
            <w:vAlign w:val="center"/>
          </w:tcPr>
          <w:p w14:paraId="7E47EA7D">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rPr>
              <w:t>GB 13511.1-2011</w:t>
            </w:r>
          </w:p>
        </w:tc>
        <w:tc>
          <w:tcPr>
            <w:tcW w:w="2352" w:type="dxa"/>
            <w:noWrap w:val="0"/>
            <w:vAlign w:val="center"/>
          </w:tcPr>
          <w:p w14:paraId="141818EF">
            <w:pPr>
              <w:snapToGrid w:val="0"/>
              <w:spacing w:line="300" w:lineRule="exact"/>
              <w:jc w:val="center"/>
              <w:rPr>
                <w:rFonts w:hint="eastAsia" w:ascii="仿宋" w:hAnsi="仿宋" w:eastAsia="仿宋" w:cs="仿宋"/>
                <w:color w:val="auto"/>
                <w:sz w:val="24"/>
                <w:szCs w:val="24"/>
                <w:lang w:eastAsia="en-US"/>
              </w:rPr>
            </w:pPr>
            <w:r>
              <w:rPr>
                <w:rFonts w:hint="eastAsia" w:ascii="仿宋" w:hAnsi="仿宋" w:eastAsia="仿宋" w:cs="仿宋"/>
                <w:color w:val="auto"/>
                <w:sz w:val="24"/>
                <w:szCs w:val="24"/>
              </w:rPr>
              <w:t>GB 13511.1-2011</w:t>
            </w:r>
          </w:p>
        </w:tc>
      </w:tr>
      <w:tr w14:paraId="5AB9D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20A3E08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936" w:type="dxa"/>
            <w:noWrap w:val="0"/>
            <w:vAlign w:val="center"/>
          </w:tcPr>
          <w:p w14:paraId="185CE75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光学中心单侧水平偏差</w:t>
            </w:r>
          </w:p>
        </w:tc>
        <w:tc>
          <w:tcPr>
            <w:tcW w:w="2571" w:type="dxa"/>
            <w:noWrap w:val="0"/>
            <w:vAlign w:val="center"/>
          </w:tcPr>
          <w:p w14:paraId="5B480D69">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c>
          <w:tcPr>
            <w:tcW w:w="2352" w:type="dxa"/>
            <w:noWrap w:val="0"/>
            <w:vAlign w:val="center"/>
          </w:tcPr>
          <w:p w14:paraId="482798B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r>
      <w:tr w14:paraId="0F2B4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503EF1CE">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2936" w:type="dxa"/>
            <w:noWrap w:val="0"/>
            <w:vAlign w:val="center"/>
          </w:tcPr>
          <w:p w14:paraId="66A7EF0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光学中心垂直互差</w:t>
            </w:r>
          </w:p>
        </w:tc>
        <w:tc>
          <w:tcPr>
            <w:tcW w:w="2571" w:type="dxa"/>
            <w:noWrap w:val="0"/>
            <w:vAlign w:val="center"/>
          </w:tcPr>
          <w:p w14:paraId="274760AA">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c>
          <w:tcPr>
            <w:tcW w:w="2352" w:type="dxa"/>
            <w:noWrap w:val="0"/>
            <w:vAlign w:val="center"/>
          </w:tcPr>
          <w:p w14:paraId="3D885069">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r>
      <w:tr w14:paraId="7F78D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494D1082">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2936" w:type="dxa"/>
            <w:noWrap w:val="0"/>
            <w:vAlign w:val="center"/>
          </w:tcPr>
          <w:p w14:paraId="7F22FE43">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光透射比</w:t>
            </w:r>
          </w:p>
        </w:tc>
        <w:tc>
          <w:tcPr>
            <w:tcW w:w="2571" w:type="dxa"/>
            <w:noWrap w:val="0"/>
            <w:vAlign w:val="center"/>
          </w:tcPr>
          <w:p w14:paraId="0C852C84">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13511.1-2011</w:t>
            </w:r>
          </w:p>
        </w:tc>
        <w:tc>
          <w:tcPr>
            <w:tcW w:w="2352" w:type="dxa"/>
            <w:noWrap w:val="0"/>
            <w:vAlign w:val="center"/>
          </w:tcPr>
          <w:p w14:paraId="5A81BFE2">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10810.3-2025</w:t>
            </w:r>
          </w:p>
        </w:tc>
      </w:tr>
      <w:tr w14:paraId="47506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50" w:type="dxa"/>
            <w:gridSpan w:val="4"/>
            <w:noWrap w:val="0"/>
            <w:vAlign w:val="center"/>
          </w:tcPr>
          <w:p w14:paraId="62F3E6D9">
            <w:pPr>
              <w:snapToGrid w:val="0"/>
              <w:spacing w:line="30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rPr>
              <w:t>注：适用于生产日期在2026年3月1日之前的产品。</w:t>
            </w:r>
          </w:p>
        </w:tc>
      </w:tr>
    </w:tbl>
    <w:p w14:paraId="6779986C">
      <w:pPr>
        <w:autoSpaceDE/>
        <w:autoSpaceDN/>
        <w:spacing w:line="580" w:lineRule="exact"/>
        <w:ind w:firstLine="560" w:firstLineChars="200"/>
        <w:jc w:val="center"/>
        <w:rPr>
          <w:rFonts w:hint="eastAsia" w:ascii="仿宋" w:hAnsi="仿宋" w:eastAsia="仿宋" w:cs="仿宋"/>
          <w:kern w:val="2"/>
          <w:sz w:val="28"/>
          <w:szCs w:val="28"/>
          <w:lang w:val="en-US" w:bidi="ar-SA"/>
        </w:rPr>
      </w:pPr>
      <w:r>
        <w:rPr>
          <w:rFonts w:hint="eastAsia" w:ascii="仿宋" w:hAnsi="仿宋" w:eastAsia="仿宋" w:cs="仿宋"/>
          <w:kern w:val="2"/>
          <w:sz w:val="28"/>
          <w:szCs w:val="28"/>
          <w:lang w:val="en-US" w:eastAsia="zh-CN" w:bidi="ar-SA"/>
        </w:rPr>
        <w:t>表2 配装眼镜产品</w:t>
      </w:r>
      <w:r>
        <w:rPr>
          <w:rFonts w:hint="eastAsia" w:ascii="仿宋" w:hAnsi="仿宋" w:eastAsia="仿宋" w:cs="仿宋"/>
          <w:kern w:val="2"/>
          <w:sz w:val="28"/>
          <w:szCs w:val="28"/>
          <w:lang w:val="en-US" w:bidi="ar-SA"/>
        </w:rPr>
        <w:t>检验项目</w:t>
      </w:r>
    </w:p>
    <w:tbl>
      <w:tblPr>
        <w:tblStyle w:val="10"/>
        <w:tblW w:w="85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1"/>
        <w:gridCol w:w="2936"/>
        <w:gridCol w:w="2571"/>
        <w:gridCol w:w="2352"/>
      </w:tblGrid>
      <w:tr w14:paraId="3C8D4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162B8A8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936" w:type="dxa"/>
            <w:noWrap w:val="0"/>
            <w:vAlign w:val="center"/>
          </w:tcPr>
          <w:p w14:paraId="23F9B24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检验项目</w:t>
            </w:r>
          </w:p>
        </w:tc>
        <w:tc>
          <w:tcPr>
            <w:tcW w:w="2571" w:type="dxa"/>
            <w:noWrap w:val="0"/>
            <w:vAlign w:val="center"/>
          </w:tcPr>
          <w:p w14:paraId="7E5E79B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判定依据</w:t>
            </w:r>
          </w:p>
        </w:tc>
        <w:tc>
          <w:tcPr>
            <w:tcW w:w="2352" w:type="dxa"/>
            <w:noWrap w:val="0"/>
            <w:vAlign w:val="center"/>
          </w:tcPr>
          <w:p w14:paraId="2960DC1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检验方法</w:t>
            </w:r>
          </w:p>
        </w:tc>
      </w:tr>
      <w:tr w14:paraId="3A9DB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05630C70">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2936" w:type="dxa"/>
            <w:noWrap w:val="0"/>
            <w:vAlign w:val="center"/>
          </w:tcPr>
          <w:p w14:paraId="7B1DF68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主子午面一球镜顶焦度偏差</w:t>
            </w:r>
          </w:p>
        </w:tc>
        <w:tc>
          <w:tcPr>
            <w:tcW w:w="2571" w:type="dxa"/>
            <w:noWrap w:val="0"/>
            <w:vAlign w:val="center"/>
          </w:tcPr>
          <w:p w14:paraId="3A9BC25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GB/T 13511.1-2025</w:t>
            </w:r>
          </w:p>
        </w:tc>
        <w:tc>
          <w:tcPr>
            <w:tcW w:w="2352" w:type="dxa"/>
            <w:noWrap w:val="0"/>
            <w:vAlign w:val="center"/>
          </w:tcPr>
          <w:p w14:paraId="3E1BA001">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45184-2024</w:t>
            </w:r>
          </w:p>
        </w:tc>
      </w:tr>
      <w:tr w14:paraId="765C0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2D4D5C3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2936" w:type="dxa"/>
            <w:noWrap w:val="0"/>
            <w:vAlign w:val="center"/>
          </w:tcPr>
          <w:p w14:paraId="7A6338C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主子午面二球镜顶焦度偏差</w:t>
            </w:r>
          </w:p>
        </w:tc>
        <w:tc>
          <w:tcPr>
            <w:tcW w:w="2571" w:type="dxa"/>
            <w:noWrap w:val="0"/>
            <w:vAlign w:val="center"/>
          </w:tcPr>
          <w:p w14:paraId="5D5450A5">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GB/T 13511.1-2025</w:t>
            </w:r>
          </w:p>
        </w:tc>
        <w:tc>
          <w:tcPr>
            <w:tcW w:w="2352" w:type="dxa"/>
            <w:noWrap w:val="0"/>
            <w:vAlign w:val="center"/>
          </w:tcPr>
          <w:p w14:paraId="7655C3A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45184-2024</w:t>
            </w:r>
          </w:p>
        </w:tc>
      </w:tr>
      <w:tr w14:paraId="14963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16D6E094">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2936" w:type="dxa"/>
            <w:noWrap w:val="0"/>
            <w:vAlign w:val="center"/>
          </w:tcPr>
          <w:p w14:paraId="3C9DBB46">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柱镜顶焦度偏差</w:t>
            </w:r>
          </w:p>
        </w:tc>
        <w:tc>
          <w:tcPr>
            <w:tcW w:w="2571" w:type="dxa"/>
            <w:noWrap w:val="0"/>
            <w:vAlign w:val="center"/>
          </w:tcPr>
          <w:p w14:paraId="32D7A08A">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GB/T 13511.1-2025</w:t>
            </w:r>
          </w:p>
        </w:tc>
        <w:tc>
          <w:tcPr>
            <w:tcW w:w="2352" w:type="dxa"/>
            <w:noWrap w:val="0"/>
            <w:vAlign w:val="center"/>
          </w:tcPr>
          <w:p w14:paraId="036DEB4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45184-2024</w:t>
            </w:r>
          </w:p>
        </w:tc>
      </w:tr>
      <w:tr w14:paraId="43EE7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33D39808">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2936" w:type="dxa"/>
            <w:noWrap w:val="0"/>
            <w:vAlign w:val="center"/>
          </w:tcPr>
          <w:p w14:paraId="6A370ABC">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中心点水平距离偏差</w:t>
            </w:r>
          </w:p>
        </w:tc>
        <w:tc>
          <w:tcPr>
            <w:tcW w:w="2571" w:type="dxa"/>
            <w:noWrap w:val="0"/>
            <w:vAlign w:val="center"/>
          </w:tcPr>
          <w:p w14:paraId="4F988B2C">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GB/T 13511.1-2025</w:t>
            </w:r>
          </w:p>
        </w:tc>
        <w:tc>
          <w:tcPr>
            <w:tcW w:w="2352" w:type="dxa"/>
            <w:noWrap w:val="0"/>
            <w:vAlign w:val="center"/>
          </w:tcPr>
          <w:p w14:paraId="673FF7E0">
            <w:pPr>
              <w:snapToGrid w:val="0"/>
              <w:spacing w:line="300" w:lineRule="exact"/>
              <w:jc w:val="center"/>
              <w:rPr>
                <w:rFonts w:hint="eastAsia" w:ascii="仿宋" w:hAnsi="仿宋" w:eastAsia="仿宋" w:cs="仿宋"/>
                <w:color w:val="000000"/>
                <w:sz w:val="24"/>
                <w:szCs w:val="24"/>
                <w:lang w:eastAsia="en-US"/>
              </w:rPr>
            </w:pPr>
            <w:r>
              <w:rPr>
                <w:rFonts w:hint="eastAsia" w:ascii="仿宋" w:hAnsi="仿宋" w:eastAsia="仿宋" w:cs="仿宋"/>
                <w:sz w:val="24"/>
                <w:szCs w:val="24"/>
              </w:rPr>
              <w:t>GB 45185-2024</w:t>
            </w:r>
          </w:p>
        </w:tc>
      </w:tr>
      <w:tr w14:paraId="482A4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0C87E1DC">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2936" w:type="dxa"/>
            <w:noWrap w:val="0"/>
            <w:vAlign w:val="center"/>
          </w:tcPr>
          <w:p w14:paraId="78A5D69E">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中心点单侧水平距离偏差</w:t>
            </w:r>
          </w:p>
        </w:tc>
        <w:tc>
          <w:tcPr>
            <w:tcW w:w="2571" w:type="dxa"/>
            <w:noWrap w:val="0"/>
            <w:vAlign w:val="center"/>
          </w:tcPr>
          <w:p w14:paraId="4423C9D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GB/T 13511.1-2025</w:t>
            </w:r>
          </w:p>
        </w:tc>
        <w:tc>
          <w:tcPr>
            <w:tcW w:w="2352" w:type="dxa"/>
            <w:noWrap w:val="0"/>
            <w:vAlign w:val="center"/>
          </w:tcPr>
          <w:p w14:paraId="660A4F4F">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GB 45185-2024</w:t>
            </w:r>
          </w:p>
        </w:tc>
      </w:tr>
      <w:tr w14:paraId="394C0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045631AC">
            <w:pPr>
              <w:snapToGrid w:val="0"/>
              <w:spacing w:line="300" w:lineRule="exact"/>
              <w:jc w:val="center"/>
              <w:rPr>
                <w:rFonts w:hint="eastAsia" w:ascii="仿宋" w:hAnsi="仿宋" w:eastAsia="仿宋" w:cs="仿宋"/>
                <w:color w:val="000000"/>
                <w:sz w:val="24"/>
                <w:szCs w:val="24"/>
                <w:lang w:val="en-US" w:eastAsia="zh-CN"/>
              </w:rPr>
            </w:pPr>
            <w:bookmarkStart w:id="0" w:name="_GoBack" w:colFirst="2" w:colLast="3"/>
            <w:r>
              <w:rPr>
                <w:rFonts w:hint="eastAsia" w:ascii="仿宋" w:hAnsi="仿宋" w:eastAsia="仿宋" w:cs="仿宋"/>
                <w:color w:val="000000"/>
                <w:sz w:val="24"/>
                <w:szCs w:val="24"/>
                <w:lang w:val="en-US" w:eastAsia="zh-CN"/>
              </w:rPr>
              <w:t>6</w:t>
            </w:r>
          </w:p>
        </w:tc>
        <w:tc>
          <w:tcPr>
            <w:tcW w:w="2936" w:type="dxa"/>
            <w:noWrap w:val="0"/>
            <w:vAlign w:val="center"/>
          </w:tcPr>
          <w:p w14:paraId="664D5D02">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中心点垂直互差</w:t>
            </w:r>
          </w:p>
        </w:tc>
        <w:tc>
          <w:tcPr>
            <w:tcW w:w="2571" w:type="dxa"/>
            <w:noWrap w:val="0"/>
            <w:vAlign w:val="center"/>
          </w:tcPr>
          <w:p w14:paraId="306C085A">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13511.1-2025</w:t>
            </w:r>
          </w:p>
        </w:tc>
        <w:tc>
          <w:tcPr>
            <w:tcW w:w="2352" w:type="dxa"/>
            <w:noWrap w:val="0"/>
            <w:vAlign w:val="center"/>
          </w:tcPr>
          <w:p w14:paraId="6745E342">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45185-2024</w:t>
            </w:r>
          </w:p>
        </w:tc>
      </w:tr>
      <w:tr w14:paraId="25C5B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91" w:type="dxa"/>
            <w:noWrap w:val="0"/>
            <w:vAlign w:val="center"/>
          </w:tcPr>
          <w:p w14:paraId="694F25EB">
            <w:pPr>
              <w:snapToGrid w:val="0"/>
              <w:spacing w:line="30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2936" w:type="dxa"/>
            <w:noWrap w:val="0"/>
            <w:vAlign w:val="center"/>
          </w:tcPr>
          <w:p w14:paraId="508BA7AB">
            <w:pPr>
              <w:snapToGrid w:val="0"/>
              <w:spacing w:line="300" w:lineRule="exact"/>
              <w:jc w:val="center"/>
              <w:rPr>
                <w:rFonts w:hint="eastAsia" w:ascii="仿宋" w:hAnsi="仿宋" w:eastAsia="仿宋" w:cs="仿宋"/>
                <w:color w:val="000000"/>
                <w:sz w:val="24"/>
                <w:szCs w:val="24"/>
              </w:rPr>
            </w:pPr>
            <w:r>
              <w:rPr>
                <w:rFonts w:hint="eastAsia" w:ascii="仿宋" w:hAnsi="仿宋" w:eastAsia="仿宋" w:cs="仿宋"/>
                <w:sz w:val="24"/>
                <w:szCs w:val="24"/>
              </w:rPr>
              <w:t>光透射比</w:t>
            </w:r>
          </w:p>
        </w:tc>
        <w:tc>
          <w:tcPr>
            <w:tcW w:w="2571" w:type="dxa"/>
            <w:noWrap w:val="0"/>
            <w:vAlign w:val="center"/>
          </w:tcPr>
          <w:p w14:paraId="05CA8DC0">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GB/T 13511.1-2025</w:t>
            </w:r>
          </w:p>
        </w:tc>
        <w:tc>
          <w:tcPr>
            <w:tcW w:w="2352" w:type="dxa"/>
            <w:noWrap w:val="0"/>
            <w:vAlign w:val="center"/>
          </w:tcPr>
          <w:p w14:paraId="27EAD353">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45184-2024</w:t>
            </w:r>
          </w:p>
          <w:p w14:paraId="2FA3DDEA">
            <w:pPr>
              <w:snapToGrid w:val="0"/>
              <w:spacing w:line="3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GB 45185-2024</w:t>
            </w:r>
          </w:p>
        </w:tc>
      </w:tr>
      <w:bookmarkEnd w:id="0"/>
      <w:tr w14:paraId="4F8B4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8550" w:type="dxa"/>
            <w:gridSpan w:val="4"/>
            <w:noWrap w:val="0"/>
            <w:vAlign w:val="center"/>
          </w:tcPr>
          <w:p w14:paraId="53729C9F">
            <w:pPr>
              <w:snapToGrid w:val="0"/>
              <w:spacing w:line="300" w:lineRule="exact"/>
              <w:jc w:val="left"/>
              <w:rPr>
                <w:rFonts w:hint="eastAsia" w:ascii="仿宋" w:hAnsi="仿宋" w:eastAsia="仿宋" w:cs="仿宋"/>
                <w:color w:val="000000"/>
                <w:sz w:val="24"/>
                <w:szCs w:val="24"/>
              </w:rPr>
            </w:pPr>
            <w:r>
              <w:rPr>
                <w:rFonts w:hint="eastAsia" w:ascii="仿宋" w:hAnsi="仿宋" w:eastAsia="仿宋" w:cs="仿宋"/>
                <w:spacing w:val="-1"/>
                <w:sz w:val="24"/>
                <w:szCs w:val="24"/>
              </w:rPr>
              <w:t>注：适用于生产日期在2026年3月1日及以后的产品。</w:t>
            </w:r>
          </w:p>
        </w:tc>
      </w:tr>
    </w:tbl>
    <w:p w14:paraId="3924D711">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检验方法包括相关产品标准及试验方法标准。</w:t>
      </w:r>
    </w:p>
    <w:p w14:paraId="7B373212">
      <w:pPr>
        <w:autoSpaceDE/>
        <w:autoSpaceDN/>
        <w:spacing w:line="580" w:lineRule="exact"/>
        <w:ind w:firstLine="640" w:firstLineChars="200"/>
        <w:jc w:val="both"/>
        <w:rPr>
          <w:rFonts w:hint="eastAsia" w:ascii="仿宋" w:hAnsi="仿宋" w:eastAsia="仿宋" w:cs="仿宋"/>
          <w:b/>
          <w:kern w:val="2"/>
          <w:sz w:val="32"/>
          <w:szCs w:val="32"/>
          <w:lang w:val="en-US" w:bidi="ar-SA"/>
        </w:rPr>
      </w:pPr>
      <w:r>
        <w:rPr>
          <w:rFonts w:hint="eastAsia" w:ascii="仿宋" w:hAnsi="仿宋" w:eastAsia="仿宋" w:cs="仿宋"/>
          <w:kern w:val="2"/>
          <w:sz w:val="32"/>
          <w:szCs w:val="32"/>
          <w:lang w:val="en-US" w:bidi="ar-SA"/>
        </w:rPr>
        <w:t>凡是注日期的文件，其随后所有的修改单（不包括勘误的内容）或修订版不适用于本细则。凡是不注日期的文件，其最新版本适用于本细则。</w:t>
      </w:r>
    </w:p>
    <w:p w14:paraId="1EFEED68">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4.判定规则</w:t>
      </w:r>
    </w:p>
    <w:p w14:paraId="3E423F4D">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b/>
          <w:bCs/>
          <w:kern w:val="2"/>
          <w:sz w:val="32"/>
          <w:szCs w:val="32"/>
          <w:lang w:val="en-US" w:bidi="ar-SA"/>
        </w:rPr>
        <w:t>4.1依据标准</w:t>
      </w:r>
    </w:p>
    <w:p w14:paraId="2CD31498">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 13511.1-2011《配装眼镜 第1部分：单光和多焦点》</w:t>
      </w:r>
    </w:p>
    <w:p w14:paraId="66B5F380">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GB/T 13511.1-2025《配装眼镜 第1部分：单焦和多焦定配眼镜》</w:t>
      </w:r>
    </w:p>
    <w:p w14:paraId="617FF589">
      <w:pPr>
        <w:keepNext w:val="0"/>
        <w:keepLines w:val="0"/>
        <w:pageBreakBefore w:val="0"/>
        <w:widowControl w:val="0"/>
        <w:kinsoku/>
        <w:wordWrap/>
        <w:overflowPunct/>
        <w:topLinePunct w:val="0"/>
        <w:bidi w:val="0"/>
        <w:adjustRightInd/>
        <w:snapToGrid w:val="0"/>
        <w:spacing w:line="580" w:lineRule="exact"/>
        <w:ind w:firstLine="640" w:firstLineChars="200"/>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eastAsia="zh-CN" w:bidi="ar-SA"/>
        </w:rPr>
        <w:t>现行有效的企业标准、团</w:t>
      </w:r>
      <w:r>
        <w:rPr>
          <w:rFonts w:hint="eastAsia" w:ascii="仿宋" w:hAnsi="仿宋" w:eastAsia="仿宋" w:cs="仿宋"/>
          <w:kern w:val="2"/>
          <w:sz w:val="32"/>
          <w:szCs w:val="32"/>
          <w:lang w:val="en-US" w:bidi="ar-SA"/>
        </w:rPr>
        <w:t>体标准、地方标准及产品明示质量要求</w:t>
      </w:r>
    </w:p>
    <w:p w14:paraId="6929A8E4">
      <w:pPr>
        <w:keepNext w:val="0"/>
        <w:keepLines w:val="0"/>
        <w:pageBreakBefore w:val="0"/>
        <w:widowControl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kern w:val="2"/>
          <w:sz w:val="32"/>
          <w:szCs w:val="32"/>
          <w:lang w:val="en-US" w:bidi="ar-SA"/>
        </w:rPr>
      </w:pPr>
      <w:r>
        <w:rPr>
          <w:rFonts w:hint="eastAsia" w:ascii="仿宋" w:hAnsi="仿宋" w:eastAsia="仿宋" w:cs="仿宋"/>
          <w:b/>
          <w:bCs/>
          <w:kern w:val="2"/>
          <w:sz w:val="32"/>
          <w:szCs w:val="32"/>
          <w:lang w:val="en-US" w:bidi="ar-SA"/>
        </w:rPr>
        <w:t>4.2判定原则</w:t>
      </w:r>
    </w:p>
    <w:p w14:paraId="647EBBF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经检验，检验项目全部合格，判定为被抽查产品所检项目未发现不合格; 检验项目中任一项或一项以上不合格，判定为被抽查产品不合格。</w:t>
      </w:r>
    </w:p>
    <w:p w14:paraId="0C1C26D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若被检产品明示的质量要求高于本细则中检验项目依据的标准要求时，应按被检产品明示的质量要求判定。</w:t>
      </w:r>
    </w:p>
    <w:p w14:paraId="24F84686">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若被检产品明示的质量要求低于本细则中检验项目依据的强制性标准要求时，应按照强制性标准要求判定。</w:t>
      </w:r>
    </w:p>
    <w:p w14:paraId="65518BE8">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0C47D5B">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若被检产品明示的质量要求缺少本细则中检验项目依据的强制性标准要求时，应按照强制性标准要求判定。</w:t>
      </w:r>
    </w:p>
    <w:p w14:paraId="3CC9FC3C">
      <w:pPr>
        <w:keepNext w:val="0"/>
        <w:keepLines w:val="0"/>
        <w:pageBreakBefore w:val="0"/>
        <w:widowControl w:val="0"/>
        <w:kinsoku/>
        <w:wordWrap/>
        <w:overflowPunct/>
        <w:topLinePunct w:val="0"/>
        <w:autoSpaceDE/>
        <w:autoSpaceDN/>
        <w:bidi w:val="0"/>
        <w:adjustRightInd/>
        <w:spacing w:line="580" w:lineRule="exact"/>
        <w:ind w:firstLine="640" w:firstLineChars="200"/>
        <w:jc w:val="both"/>
        <w:textAlignment w:val="auto"/>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若被检产品明示的质量要求缺少本细则中检验项目依据的推荐性标准要求时，该项目不参与判定，但应在检验报告备注中进行说明。</w:t>
      </w:r>
    </w:p>
    <w:p w14:paraId="7554D939">
      <w:pPr>
        <w:autoSpaceDE/>
        <w:autoSpaceDN/>
        <w:spacing w:line="580" w:lineRule="exact"/>
        <w:ind w:firstLine="640" w:firstLineChars="200"/>
        <w:jc w:val="both"/>
        <w:rPr>
          <w:rFonts w:hint="eastAsia" w:ascii="黑体" w:hAnsi="黑体" w:eastAsia="黑体" w:cs="黑体"/>
          <w:b w:val="0"/>
          <w:bCs/>
          <w:kern w:val="2"/>
          <w:sz w:val="32"/>
          <w:szCs w:val="32"/>
          <w:lang w:val="en-US" w:bidi="ar-SA"/>
        </w:rPr>
      </w:pPr>
      <w:r>
        <w:rPr>
          <w:rFonts w:hint="eastAsia" w:ascii="黑体" w:hAnsi="黑体" w:eastAsia="黑体" w:cs="黑体"/>
          <w:b w:val="0"/>
          <w:bCs/>
          <w:kern w:val="2"/>
          <w:sz w:val="32"/>
          <w:szCs w:val="32"/>
          <w:lang w:val="en-US" w:bidi="ar-SA"/>
        </w:rPr>
        <w:t>5.异议处理</w:t>
      </w:r>
    </w:p>
    <w:p w14:paraId="683D081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5.1对监督抽查程序有异议的，由任务下达部门核查相关证据后维持或者撤销原检验结果。</w:t>
      </w:r>
    </w:p>
    <w:p w14:paraId="4B852837">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8E6E06">
      <w:pPr>
        <w:autoSpaceDE/>
        <w:autoSpaceDN/>
        <w:spacing w:line="580" w:lineRule="exact"/>
        <w:ind w:firstLine="640" w:firstLineChars="200"/>
        <w:jc w:val="both"/>
        <w:rPr>
          <w:rFonts w:hint="eastAsia" w:ascii="仿宋" w:hAnsi="仿宋" w:eastAsia="仿宋" w:cs="仿宋"/>
          <w:kern w:val="2"/>
          <w:sz w:val="32"/>
          <w:szCs w:val="32"/>
          <w:lang w:val="en-US" w:bidi="ar-SA"/>
        </w:rPr>
      </w:pPr>
      <w:r>
        <w:rPr>
          <w:rFonts w:hint="eastAsia" w:ascii="仿宋" w:hAnsi="仿宋" w:eastAsia="仿宋" w:cs="仿宋"/>
          <w:kern w:val="2"/>
          <w:sz w:val="32"/>
          <w:szCs w:val="32"/>
          <w:lang w:val="en-US" w:bidi="ar-SA"/>
        </w:rPr>
        <w:t>5.3对样品信息有异议的，任务下达部门核查样品确认情况和生产企业提交证明材料后，维持或者撤销原检验结果。</w:t>
      </w:r>
    </w:p>
    <w:p w14:paraId="4DD5F909">
      <w:pPr>
        <w:pStyle w:val="5"/>
        <w:tabs>
          <w:tab w:val="left" w:pos="967"/>
          <w:tab w:val="left" w:pos="969"/>
        </w:tabs>
        <w:spacing w:before="120" w:line="360" w:lineRule="auto"/>
        <w:ind w:left="0" w:firstLine="420" w:firstLineChars="200"/>
        <w:rPr>
          <w:rFonts w:ascii="华文仿宋" w:hAnsi="华文仿宋" w:eastAsia="华文仿宋" w:cs="华文仿宋"/>
          <w:kern w:val="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431ED4-17B7-431E-B1C3-85C322DCF5B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embedRegular r:id="rId2" w:fontKey="{A981C2A3-ACF3-43BD-AD4B-F764525F23CC}"/>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embedRegular r:id="rId3" w:fontKey="{4C4E7FF2-FA06-44BF-BD7C-F16DA2308DB8}"/>
  </w:font>
  <w:font w:name="仿宋">
    <w:panose1 w:val="02010609060101010101"/>
    <w:charset w:val="86"/>
    <w:family w:val="auto"/>
    <w:pitch w:val="default"/>
    <w:sig w:usb0="800002BF" w:usb1="38CF7CFA" w:usb2="00000016" w:usb3="00000000" w:csb0="00040001" w:csb1="00000000"/>
    <w:embedRegular r:id="rId4" w:fontKey="{5D828D48-54E3-43F1-85B9-F3023E38A29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2D06C">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240DA5DE">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0E24"/>
    <w:rsid w:val="0036591F"/>
    <w:rsid w:val="00395BCD"/>
    <w:rsid w:val="003C468C"/>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87A8B"/>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12A2737"/>
    <w:rsid w:val="01CA216C"/>
    <w:rsid w:val="022E6257"/>
    <w:rsid w:val="023A13C5"/>
    <w:rsid w:val="025D6B3C"/>
    <w:rsid w:val="02900CBF"/>
    <w:rsid w:val="02BC7D06"/>
    <w:rsid w:val="03435D32"/>
    <w:rsid w:val="034D4E02"/>
    <w:rsid w:val="035B751F"/>
    <w:rsid w:val="03653EFA"/>
    <w:rsid w:val="039B3DC0"/>
    <w:rsid w:val="03D8291E"/>
    <w:rsid w:val="0431202E"/>
    <w:rsid w:val="052663E3"/>
    <w:rsid w:val="053D71CE"/>
    <w:rsid w:val="05557F9E"/>
    <w:rsid w:val="05852631"/>
    <w:rsid w:val="05AC4062"/>
    <w:rsid w:val="05E41A4E"/>
    <w:rsid w:val="05EC26B0"/>
    <w:rsid w:val="06A20FC1"/>
    <w:rsid w:val="06B86A37"/>
    <w:rsid w:val="06CB49BC"/>
    <w:rsid w:val="06E65352"/>
    <w:rsid w:val="06FF6413"/>
    <w:rsid w:val="07697D31"/>
    <w:rsid w:val="07707311"/>
    <w:rsid w:val="078E014B"/>
    <w:rsid w:val="079B25E0"/>
    <w:rsid w:val="08000695"/>
    <w:rsid w:val="08122176"/>
    <w:rsid w:val="086E1AA3"/>
    <w:rsid w:val="0902626A"/>
    <w:rsid w:val="09297778"/>
    <w:rsid w:val="097E5D15"/>
    <w:rsid w:val="09970B85"/>
    <w:rsid w:val="09A908B8"/>
    <w:rsid w:val="0A334D52"/>
    <w:rsid w:val="0A682522"/>
    <w:rsid w:val="0ABB4D47"/>
    <w:rsid w:val="0AC260D6"/>
    <w:rsid w:val="0B00275A"/>
    <w:rsid w:val="0B007BD2"/>
    <w:rsid w:val="0B1A381C"/>
    <w:rsid w:val="0B6D4294"/>
    <w:rsid w:val="0C2C7CAB"/>
    <w:rsid w:val="0C656D19"/>
    <w:rsid w:val="0C7358DA"/>
    <w:rsid w:val="0E0D7668"/>
    <w:rsid w:val="0E2A413A"/>
    <w:rsid w:val="0E2A646C"/>
    <w:rsid w:val="0E3A41D5"/>
    <w:rsid w:val="0E3A5F83"/>
    <w:rsid w:val="0EA55AF2"/>
    <w:rsid w:val="0EA855E3"/>
    <w:rsid w:val="0EDE2DB2"/>
    <w:rsid w:val="0EF10D38"/>
    <w:rsid w:val="0F184516"/>
    <w:rsid w:val="0F423341"/>
    <w:rsid w:val="0F7200CA"/>
    <w:rsid w:val="10022AD1"/>
    <w:rsid w:val="100827DD"/>
    <w:rsid w:val="10090F42"/>
    <w:rsid w:val="10AB4F16"/>
    <w:rsid w:val="10B4026F"/>
    <w:rsid w:val="10F66AD9"/>
    <w:rsid w:val="11164A85"/>
    <w:rsid w:val="114710E3"/>
    <w:rsid w:val="117D5540"/>
    <w:rsid w:val="117F087D"/>
    <w:rsid w:val="11A26319"/>
    <w:rsid w:val="11F823DD"/>
    <w:rsid w:val="1212349F"/>
    <w:rsid w:val="12394ECF"/>
    <w:rsid w:val="128E689D"/>
    <w:rsid w:val="12C50511"/>
    <w:rsid w:val="12C66037"/>
    <w:rsid w:val="132A0CBC"/>
    <w:rsid w:val="1399374C"/>
    <w:rsid w:val="13C0517C"/>
    <w:rsid w:val="13F57B76"/>
    <w:rsid w:val="14023FCD"/>
    <w:rsid w:val="142F3EDE"/>
    <w:rsid w:val="149E54BE"/>
    <w:rsid w:val="14BD0584"/>
    <w:rsid w:val="14EA24B1"/>
    <w:rsid w:val="156A1844"/>
    <w:rsid w:val="158C3568"/>
    <w:rsid w:val="15DE18EA"/>
    <w:rsid w:val="15E72E94"/>
    <w:rsid w:val="15EC2259"/>
    <w:rsid w:val="16F615E1"/>
    <w:rsid w:val="175D6B45"/>
    <w:rsid w:val="176A7DC8"/>
    <w:rsid w:val="1794667B"/>
    <w:rsid w:val="17C57205"/>
    <w:rsid w:val="18C96881"/>
    <w:rsid w:val="18DA283C"/>
    <w:rsid w:val="191E0979"/>
    <w:rsid w:val="197A050A"/>
    <w:rsid w:val="19AA0461"/>
    <w:rsid w:val="19D11E91"/>
    <w:rsid w:val="19EF2318"/>
    <w:rsid w:val="19F93196"/>
    <w:rsid w:val="1A4A39F2"/>
    <w:rsid w:val="1A642D06"/>
    <w:rsid w:val="1ACD08AB"/>
    <w:rsid w:val="1AD867BE"/>
    <w:rsid w:val="1B132036"/>
    <w:rsid w:val="1B5B5EB7"/>
    <w:rsid w:val="1B7E3953"/>
    <w:rsid w:val="1BA809D0"/>
    <w:rsid w:val="1BB13D28"/>
    <w:rsid w:val="1BD619E1"/>
    <w:rsid w:val="1BED2887"/>
    <w:rsid w:val="1C874A89"/>
    <w:rsid w:val="1C905219"/>
    <w:rsid w:val="1CCE26B8"/>
    <w:rsid w:val="1CD203FA"/>
    <w:rsid w:val="1CE7377A"/>
    <w:rsid w:val="1D272FEB"/>
    <w:rsid w:val="1D721295"/>
    <w:rsid w:val="1D7F39B2"/>
    <w:rsid w:val="1DA65E17"/>
    <w:rsid w:val="1E29229C"/>
    <w:rsid w:val="1E4470D6"/>
    <w:rsid w:val="1E8D54C1"/>
    <w:rsid w:val="1EB63404"/>
    <w:rsid w:val="1ED815CC"/>
    <w:rsid w:val="1EDE58F5"/>
    <w:rsid w:val="1FC3402A"/>
    <w:rsid w:val="20607ACB"/>
    <w:rsid w:val="20A91472"/>
    <w:rsid w:val="20F46465"/>
    <w:rsid w:val="20FB77F4"/>
    <w:rsid w:val="211D776A"/>
    <w:rsid w:val="217A4BBD"/>
    <w:rsid w:val="21C347B6"/>
    <w:rsid w:val="21E62252"/>
    <w:rsid w:val="220B7F0B"/>
    <w:rsid w:val="22576CAC"/>
    <w:rsid w:val="228201CD"/>
    <w:rsid w:val="22857CBD"/>
    <w:rsid w:val="22BE4F7D"/>
    <w:rsid w:val="23517B9F"/>
    <w:rsid w:val="23867849"/>
    <w:rsid w:val="23D902C0"/>
    <w:rsid w:val="242332EA"/>
    <w:rsid w:val="248F097F"/>
    <w:rsid w:val="248F4E23"/>
    <w:rsid w:val="258A1146"/>
    <w:rsid w:val="259B3958"/>
    <w:rsid w:val="264B6B28"/>
    <w:rsid w:val="26630315"/>
    <w:rsid w:val="26DE5BEE"/>
    <w:rsid w:val="26E2185C"/>
    <w:rsid w:val="270311B0"/>
    <w:rsid w:val="276500BD"/>
    <w:rsid w:val="27F52646"/>
    <w:rsid w:val="28285372"/>
    <w:rsid w:val="295126A7"/>
    <w:rsid w:val="296E14AB"/>
    <w:rsid w:val="2973086F"/>
    <w:rsid w:val="298505A2"/>
    <w:rsid w:val="2A1619CB"/>
    <w:rsid w:val="2A44045E"/>
    <w:rsid w:val="2A636B36"/>
    <w:rsid w:val="2AB949A8"/>
    <w:rsid w:val="2AC31382"/>
    <w:rsid w:val="2AF53506"/>
    <w:rsid w:val="2B033E75"/>
    <w:rsid w:val="2B204A27"/>
    <w:rsid w:val="2B8F395A"/>
    <w:rsid w:val="2BA271EA"/>
    <w:rsid w:val="2C3A1B18"/>
    <w:rsid w:val="2C504E98"/>
    <w:rsid w:val="2C8B4122"/>
    <w:rsid w:val="2D7626DC"/>
    <w:rsid w:val="2D947006"/>
    <w:rsid w:val="2DB80F46"/>
    <w:rsid w:val="2DCA6ECC"/>
    <w:rsid w:val="2E6B5FB9"/>
    <w:rsid w:val="2FA71273"/>
    <w:rsid w:val="3002294D"/>
    <w:rsid w:val="30112B90"/>
    <w:rsid w:val="30C80BB8"/>
    <w:rsid w:val="30F06C49"/>
    <w:rsid w:val="32AE0B6A"/>
    <w:rsid w:val="32FA5B5D"/>
    <w:rsid w:val="33386686"/>
    <w:rsid w:val="3379117D"/>
    <w:rsid w:val="33E81E5A"/>
    <w:rsid w:val="34585069"/>
    <w:rsid w:val="349A13A6"/>
    <w:rsid w:val="34BD32E6"/>
    <w:rsid w:val="35727C2D"/>
    <w:rsid w:val="3575771D"/>
    <w:rsid w:val="357D65D2"/>
    <w:rsid w:val="35870802"/>
    <w:rsid w:val="35FE3505"/>
    <w:rsid w:val="36146F36"/>
    <w:rsid w:val="368E6467"/>
    <w:rsid w:val="369D6F2B"/>
    <w:rsid w:val="36A24542"/>
    <w:rsid w:val="37133692"/>
    <w:rsid w:val="37DA41AF"/>
    <w:rsid w:val="37F95C4C"/>
    <w:rsid w:val="37FE1C4C"/>
    <w:rsid w:val="3809239F"/>
    <w:rsid w:val="383B4C4E"/>
    <w:rsid w:val="384B29B7"/>
    <w:rsid w:val="38740160"/>
    <w:rsid w:val="38EC5F48"/>
    <w:rsid w:val="390C65EA"/>
    <w:rsid w:val="39382F3B"/>
    <w:rsid w:val="39396782"/>
    <w:rsid w:val="395A1104"/>
    <w:rsid w:val="39F344F0"/>
    <w:rsid w:val="39FA6443"/>
    <w:rsid w:val="3A0472C2"/>
    <w:rsid w:val="3A2B484E"/>
    <w:rsid w:val="3A2D4A6A"/>
    <w:rsid w:val="3A970136"/>
    <w:rsid w:val="3ABB2076"/>
    <w:rsid w:val="3AD0426A"/>
    <w:rsid w:val="3B651FE2"/>
    <w:rsid w:val="3C5D3D8D"/>
    <w:rsid w:val="3C746980"/>
    <w:rsid w:val="3CBD0327"/>
    <w:rsid w:val="3D5347E8"/>
    <w:rsid w:val="3D803103"/>
    <w:rsid w:val="3DCE38C6"/>
    <w:rsid w:val="3E691DE9"/>
    <w:rsid w:val="3EE85DDF"/>
    <w:rsid w:val="3F0B2EA0"/>
    <w:rsid w:val="3F744EE9"/>
    <w:rsid w:val="3F7DE560"/>
    <w:rsid w:val="401F6C03"/>
    <w:rsid w:val="40464190"/>
    <w:rsid w:val="40534AFF"/>
    <w:rsid w:val="409018AF"/>
    <w:rsid w:val="4162324B"/>
    <w:rsid w:val="41874A60"/>
    <w:rsid w:val="41994793"/>
    <w:rsid w:val="41A03D74"/>
    <w:rsid w:val="41AC44C7"/>
    <w:rsid w:val="42823479"/>
    <w:rsid w:val="42870A90"/>
    <w:rsid w:val="43335634"/>
    <w:rsid w:val="43B835F7"/>
    <w:rsid w:val="43BB30E7"/>
    <w:rsid w:val="440A3726"/>
    <w:rsid w:val="44307631"/>
    <w:rsid w:val="4478250C"/>
    <w:rsid w:val="451E392D"/>
    <w:rsid w:val="45464C32"/>
    <w:rsid w:val="45D93CF8"/>
    <w:rsid w:val="460C0DFA"/>
    <w:rsid w:val="461F14A9"/>
    <w:rsid w:val="467D4684"/>
    <w:rsid w:val="46A71700"/>
    <w:rsid w:val="46B06807"/>
    <w:rsid w:val="46D9595E"/>
    <w:rsid w:val="46E609A4"/>
    <w:rsid w:val="46F34946"/>
    <w:rsid w:val="47497F7C"/>
    <w:rsid w:val="474D22A8"/>
    <w:rsid w:val="47527C17"/>
    <w:rsid w:val="476F0470"/>
    <w:rsid w:val="47B769D0"/>
    <w:rsid w:val="4860425D"/>
    <w:rsid w:val="48BA00C6"/>
    <w:rsid w:val="49B52386"/>
    <w:rsid w:val="4A4831FA"/>
    <w:rsid w:val="4A631DE2"/>
    <w:rsid w:val="4A6A13C3"/>
    <w:rsid w:val="4A712751"/>
    <w:rsid w:val="4BF20F3C"/>
    <w:rsid w:val="4C392DFB"/>
    <w:rsid w:val="4C4D4AF8"/>
    <w:rsid w:val="4C59524B"/>
    <w:rsid w:val="4C753AE6"/>
    <w:rsid w:val="4CB22BAD"/>
    <w:rsid w:val="4D333CEE"/>
    <w:rsid w:val="4D491763"/>
    <w:rsid w:val="4E01203E"/>
    <w:rsid w:val="4E8D5680"/>
    <w:rsid w:val="4E992277"/>
    <w:rsid w:val="4E994025"/>
    <w:rsid w:val="4EB8094F"/>
    <w:rsid w:val="4EEF633A"/>
    <w:rsid w:val="4F041DE6"/>
    <w:rsid w:val="4F174970"/>
    <w:rsid w:val="4F3B332E"/>
    <w:rsid w:val="4F3E697A"/>
    <w:rsid w:val="4F7D4C0E"/>
    <w:rsid w:val="4F9547EC"/>
    <w:rsid w:val="4F980780"/>
    <w:rsid w:val="4FC652ED"/>
    <w:rsid w:val="504601DC"/>
    <w:rsid w:val="508A00C9"/>
    <w:rsid w:val="51051E45"/>
    <w:rsid w:val="519D5BDA"/>
    <w:rsid w:val="51B55619"/>
    <w:rsid w:val="51C25640"/>
    <w:rsid w:val="52554706"/>
    <w:rsid w:val="52C33D66"/>
    <w:rsid w:val="539354E6"/>
    <w:rsid w:val="539D45B7"/>
    <w:rsid w:val="53F266B1"/>
    <w:rsid w:val="540957A8"/>
    <w:rsid w:val="543434D8"/>
    <w:rsid w:val="545F27DC"/>
    <w:rsid w:val="54866DF9"/>
    <w:rsid w:val="54D73AF9"/>
    <w:rsid w:val="55C45E2B"/>
    <w:rsid w:val="55EC35D4"/>
    <w:rsid w:val="56BE0ACC"/>
    <w:rsid w:val="57154464"/>
    <w:rsid w:val="575431DF"/>
    <w:rsid w:val="57574A7D"/>
    <w:rsid w:val="575C2093"/>
    <w:rsid w:val="579A4C4C"/>
    <w:rsid w:val="58CD149A"/>
    <w:rsid w:val="59CF1242"/>
    <w:rsid w:val="5A8B33BB"/>
    <w:rsid w:val="5A8E07B6"/>
    <w:rsid w:val="5B6634E0"/>
    <w:rsid w:val="5B863B83"/>
    <w:rsid w:val="5B8A5421"/>
    <w:rsid w:val="5BAA161F"/>
    <w:rsid w:val="5BEC1C38"/>
    <w:rsid w:val="5BF94355"/>
    <w:rsid w:val="5C190553"/>
    <w:rsid w:val="5C1C7225"/>
    <w:rsid w:val="5C2F3873"/>
    <w:rsid w:val="5C8400C2"/>
    <w:rsid w:val="5CE15514"/>
    <w:rsid w:val="5CFC40FC"/>
    <w:rsid w:val="5D1458EA"/>
    <w:rsid w:val="5D3757E4"/>
    <w:rsid w:val="5DC0337C"/>
    <w:rsid w:val="5DE0757A"/>
    <w:rsid w:val="5E631DAD"/>
    <w:rsid w:val="5E7F4FE5"/>
    <w:rsid w:val="5F092B01"/>
    <w:rsid w:val="5F8D54E0"/>
    <w:rsid w:val="5FC8476A"/>
    <w:rsid w:val="5FE01AB3"/>
    <w:rsid w:val="60343BAD"/>
    <w:rsid w:val="60BE791B"/>
    <w:rsid w:val="60D96503"/>
    <w:rsid w:val="60F11A9E"/>
    <w:rsid w:val="6131633F"/>
    <w:rsid w:val="613A3445"/>
    <w:rsid w:val="61534507"/>
    <w:rsid w:val="61903065"/>
    <w:rsid w:val="61954B1F"/>
    <w:rsid w:val="61AD3C17"/>
    <w:rsid w:val="62540537"/>
    <w:rsid w:val="628726BA"/>
    <w:rsid w:val="62AC0373"/>
    <w:rsid w:val="62F51D1A"/>
    <w:rsid w:val="63554566"/>
    <w:rsid w:val="63D00091"/>
    <w:rsid w:val="63E43B3C"/>
    <w:rsid w:val="642108EC"/>
    <w:rsid w:val="646709F5"/>
    <w:rsid w:val="64AF414A"/>
    <w:rsid w:val="64FE29DC"/>
    <w:rsid w:val="65660CAD"/>
    <w:rsid w:val="657B69AC"/>
    <w:rsid w:val="6589499B"/>
    <w:rsid w:val="65F04A1A"/>
    <w:rsid w:val="66014531"/>
    <w:rsid w:val="661204ED"/>
    <w:rsid w:val="66486604"/>
    <w:rsid w:val="666351EC"/>
    <w:rsid w:val="66652D12"/>
    <w:rsid w:val="668533B4"/>
    <w:rsid w:val="668D4017"/>
    <w:rsid w:val="66AD290B"/>
    <w:rsid w:val="66D93700"/>
    <w:rsid w:val="66F45E44"/>
    <w:rsid w:val="67073DC9"/>
    <w:rsid w:val="671D35ED"/>
    <w:rsid w:val="6736645D"/>
    <w:rsid w:val="677376B1"/>
    <w:rsid w:val="6809591F"/>
    <w:rsid w:val="686A0AB4"/>
    <w:rsid w:val="688A2F04"/>
    <w:rsid w:val="688E4077"/>
    <w:rsid w:val="68975621"/>
    <w:rsid w:val="68EE2392"/>
    <w:rsid w:val="699851AD"/>
    <w:rsid w:val="69BF098B"/>
    <w:rsid w:val="6A7554EE"/>
    <w:rsid w:val="6A7F011B"/>
    <w:rsid w:val="6B105217"/>
    <w:rsid w:val="6B2B3DFF"/>
    <w:rsid w:val="6B317667"/>
    <w:rsid w:val="6B321631"/>
    <w:rsid w:val="6B792DBC"/>
    <w:rsid w:val="6BB12417"/>
    <w:rsid w:val="6BB67B6C"/>
    <w:rsid w:val="6BDB5825"/>
    <w:rsid w:val="6C2076DB"/>
    <w:rsid w:val="6C7D4B2E"/>
    <w:rsid w:val="6C8B5C8D"/>
    <w:rsid w:val="6CB30550"/>
    <w:rsid w:val="6D0D7C60"/>
    <w:rsid w:val="6D824C5D"/>
    <w:rsid w:val="6F4F27B2"/>
    <w:rsid w:val="700A66D9"/>
    <w:rsid w:val="701A2428"/>
    <w:rsid w:val="70B36D70"/>
    <w:rsid w:val="70FA674D"/>
    <w:rsid w:val="70FE623D"/>
    <w:rsid w:val="71AA1F21"/>
    <w:rsid w:val="71AB7A47"/>
    <w:rsid w:val="71B40FF2"/>
    <w:rsid w:val="72E70F53"/>
    <w:rsid w:val="731D6723"/>
    <w:rsid w:val="732B52E4"/>
    <w:rsid w:val="739015EB"/>
    <w:rsid w:val="73C13552"/>
    <w:rsid w:val="74393A30"/>
    <w:rsid w:val="74416441"/>
    <w:rsid w:val="745F3497"/>
    <w:rsid w:val="746F1200"/>
    <w:rsid w:val="748A7DE8"/>
    <w:rsid w:val="74934EEE"/>
    <w:rsid w:val="749649DF"/>
    <w:rsid w:val="74D53759"/>
    <w:rsid w:val="74DA2B1D"/>
    <w:rsid w:val="75114065"/>
    <w:rsid w:val="75330480"/>
    <w:rsid w:val="753541F8"/>
    <w:rsid w:val="75A82C1C"/>
    <w:rsid w:val="75F0011F"/>
    <w:rsid w:val="764A3CD3"/>
    <w:rsid w:val="7662726E"/>
    <w:rsid w:val="767B0330"/>
    <w:rsid w:val="76DB2B7D"/>
    <w:rsid w:val="770519A8"/>
    <w:rsid w:val="770A5210"/>
    <w:rsid w:val="7722255A"/>
    <w:rsid w:val="775C1F10"/>
    <w:rsid w:val="777032C5"/>
    <w:rsid w:val="778030FD"/>
    <w:rsid w:val="78B74F24"/>
    <w:rsid w:val="78C22246"/>
    <w:rsid w:val="79B0209F"/>
    <w:rsid w:val="7A081EDB"/>
    <w:rsid w:val="7A434CC1"/>
    <w:rsid w:val="7AAA4D40"/>
    <w:rsid w:val="7AFB1A3F"/>
    <w:rsid w:val="7B1D5512"/>
    <w:rsid w:val="7B272834"/>
    <w:rsid w:val="7B354F51"/>
    <w:rsid w:val="7B424F78"/>
    <w:rsid w:val="7B8B67F5"/>
    <w:rsid w:val="7BB033E4"/>
    <w:rsid w:val="7BB37C24"/>
    <w:rsid w:val="7BCC0CE6"/>
    <w:rsid w:val="7BD36518"/>
    <w:rsid w:val="7C345209"/>
    <w:rsid w:val="7C6F5149"/>
    <w:rsid w:val="7D124E1E"/>
    <w:rsid w:val="7D717D97"/>
    <w:rsid w:val="7D8201F6"/>
    <w:rsid w:val="7DF764EE"/>
    <w:rsid w:val="7F392B36"/>
    <w:rsid w:val="7F403EC5"/>
    <w:rsid w:val="7F54171E"/>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ind w:left="2121" w:right="2138"/>
      <w:jc w:val="center"/>
      <w:outlineLvl w:val="0"/>
    </w:pPr>
    <w:rPr>
      <w:b/>
      <w:bCs/>
      <w:sz w:val="32"/>
      <w:szCs w:val="32"/>
    </w:rPr>
  </w:style>
  <w:style w:type="paragraph" w:styleId="3">
    <w:name w:val="heading 2"/>
    <w:basedOn w:val="1"/>
    <w:next w:val="1"/>
    <w:autoRedefine/>
    <w:qFormat/>
    <w:uiPriority w:val="1"/>
    <w:pPr>
      <w:ind w:left="789"/>
      <w:outlineLvl w:val="1"/>
    </w:pPr>
    <w:rPr>
      <w:b/>
      <w:bCs/>
      <w:sz w:val="28"/>
      <w:szCs w:val="28"/>
    </w:rPr>
  </w:style>
  <w:style w:type="paragraph" w:styleId="4">
    <w:name w:val="heading 3"/>
    <w:basedOn w:val="1"/>
    <w:next w:val="1"/>
    <w:autoRedefine/>
    <w:qFormat/>
    <w:uiPriority w:val="1"/>
    <w:pPr>
      <w:spacing w:before="186"/>
      <w:ind w:left="227"/>
      <w:outlineLvl w:val="2"/>
    </w:pPr>
    <w:rPr>
      <w:sz w:val="28"/>
      <w:szCs w:val="28"/>
    </w:rPr>
  </w:style>
  <w:style w:type="paragraph" w:styleId="5">
    <w:name w:val="heading 4"/>
    <w:basedOn w:val="1"/>
    <w:next w:val="1"/>
    <w:autoRedefine/>
    <w:qFormat/>
    <w:uiPriority w:val="1"/>
    <w:pPr>
      <w:ind w:left="862"/>
      <w:outlineLvl w:val="3"/>
    </w:pPr>
    <w:rPr>
      <w:b/>
      <w:bCs/>
      <w:sz w:val="21"/>
      <w:szCs w:val="21"/>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Body Text"/>
    <w:basedOn w:val="1"/>
    <w:link w:val="19"/>
    <w:autoRedefine/>
    <w:qFormat/>
    <w:uiPriority w:val="1"/>
    <w:rPr>
      <w:sz w:val="21"/>
      <w:szCs w:val="21"/>
    </w:rPr>
  </w:style>
  <w:style w:type="paragraph" w:styleId="7">
    <w:name w:val="Balloon Text"/>
    <w:basedOn w:val="1"/>
    <w:link w:val="16"/>
    <w:autoRedefine/>
    <w:unhideWhenUsed/>
    <w:qFormat/>
    <w:uiPriority w:val="99"/>
    <w:rPr>
      <w:sz w:val="18"/>
      <w:szCs w:val="18"/>
    </w:rPr>
  </w:style>
  <w:style w:type="paragraph" w:styleId="8">
    <w:name w:val="footer"/>
    <w:basedOn w:val="1"/>
    <w:link w:val="18"/>
    <w:autoRedefine/>
    <w:unhideWhenUsed/>
    <w:qFormat/>
    <w:uiPriority w:val="99"/>
    <w:pPr>
      <w:tabs>
        <w:tab w:val="center" w:pos="4153"/>
        <w:tab w:val="right" w:pos="8306"/>
      </w:tabs>
      <w:snapToGrid w:val="0"/>
    </w:pPr>
    <w:rPr>
      <w:sz w:val="18"/>
      <w:szCs w:val="18"/>
    </w:rPr>
  </w:style>
  <w:style w:type="paragraph" w:styleId="9">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autoRedefine/>
    <w:unhideWhenUsed/>
    <w:qFormat/>
    <w:uiPriority w:val="2"/>
    <w:tblPr>
      <w:tblCellMar>
        <w:top w:w="0" w:type="dxa"/>
        <w:left w:w="0" w:type="dxa"/>
        <w:bottom w:w="0" w:type="dxa"/>
        <w:right w:w="0" w:type="dxa"/>
      </w:tblCellMar>
    </w:tblPr>
  </w:style>
  <w:style w:type="paragraph" w:customStyle="1" w:styleId="14">
    <w:name w:val="列出段落1"/>
    <w:basedOn w:val="1"/>
    <w:autoRedefine/>
    <w:qFormat/>
    <w:uiPriority w:val="1"/>
    <w:pPr>
      <w:ind w:left="227" w:firstLine="420"/>
    </w:pPr>
  </w:style>
  <w:style w:type="paragraph" w:customStyle="1" w:styleId="15">
    <w:name w:val="Table Paragraph"/>
    <w:basedOn w:val="1"/>
    <w:autoRedefine/>
    <w:qFormat/>
    <w:uiPriority w:val="1"/>
  </w:style>
  <w:style w:type="character" w:customStyle="1" w:styleId="16">
    <w:name w:val="批注框文本 字符"/>
    <w:basedOn w:val="12"/>
    <w:link w:val="7"/>
    <w:autoRedefine/>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autoRedefine/>
    <w:qFormat/>
    <w:uiPriority w:val="99"/>
    <w:rPr>
      <w:rFonts w:ascii="宋体" w:hAnsi="宋体" w:eastAsia="宋体" w:cs="宋体"/>
      <w:sz w:val="18"/>
      <w:szCs w:val="18"/>
      <w:lang w:val="zh-CN" w:eastAsia="zh-CN" w:bidi="zh-CN"/>
    </w:rPr>
  </w:style>
  <w:style w:type="character" w:customStyle="1" w:styleId="18">
    <w:name w:val="页脚 字符"/>
    <w:basedOn w:val="12"/>
    <w:link w:val="8"/>
    <w:autoRedefine/>
    <w:qFormat/>
    <w:uiPriority w:val="99"/>
    <w:rPr>
      <w:rFonts w:ascii="宋体" w:hAnsi="宋体" w:eastAsia="宋体" w:cs="宋体"/>
      <w:sz w:val="18"/>
      <w:szCs w:val="18"/>
      <w:lang w:val="zh-CN" w:eastAsia="zh-CN" w:bidi="zh-CN"/>
    </w:rPr>
  </w:style>
  <w:style w:type="character" w:customStyle="1" w:styleId="19">
    <w:name w:val="正文文本 字符"/>
    <w:basedOn w:val="12"/>
    <w:link w:val="6"/>
    <w:autoRedefine/>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1234</Words>
  <Characters>1678</Characters>
  <Lines>10</Lines>
  <Paragraphs>2</Paragraphs>
  <TotalTime>3</TotalTime>
  <ScaleCrop>false</ScaleCrop>
  <LinksUpToDate>false</LinksUpToDate>
  <CharactersWithSpaces>1718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蔡爽</cp:lastModifiedBy>
  <dcterms:modified xsi:type="dcterms:W3CDTF">2026-03-14T03:49:13Z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2052-12.1.0.25225</vt:lpwstr>
  </property>
  <property fmtid="{D5CDD505-2E9C-101B-9397-08002B2CF9AE}" pid="6" name="ICV">
    <vt:lpwstr>53E454C6492043DB918C6185ABFB9994_13</vt:lpwstr>
  </property>
  <property fmtid="{D5CDD505-2E9C-101B-9397-08002B2CF9AE}" pid="7" name="KSOTemplateDocerSaveRecord">
    <vt:lpwstr>eyJoZGlkIjoiZTBhOWVkYmUxNzIxNjA1NDFiYzg1MTM4MjRiZDYyMTciLCJ1c2VySWQiOiI0Mzc1NDU0NTEifQ==</vt:lpwstr>
  </property>
</Properties>
</file>