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成人纸尿裤（片、垫）</w:t>
      </w:r>
      <w:r>
        <w:rPr>
          <w:rFonts w:hint="eastAsia" w:ascii="方正小标宋_GBK" w:hAnsi="华文仿宋" w:eastAsia="方正小标宋_GBK" w:cs="华文仿宋"/>
          <w:bCs/>
          <w:color w:val="000000"/>
          <w:kern w:val="2"/>
          <w:sz w:val="44"/>
          <w:szCs w:val="44"/>
          <w:lang w:val="en-US" w:bidi="ar-SA"/>
        </w:rPr>
        <w:t>产品质量监督抽查实施细则</w:t>
      </w:r>
    </w:p>
    <w:p>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成人纸尿裤（片、垫）</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4包</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2包（每包不少于20片）作为检验样品</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2包（每包不少于20片）作为备用样品。</w:t>
      </w:r>
    </w:p>
    <w:p>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成人纸尿裤（片、垫）产品</w:t>
      </w:r>
      <w:r>
        <w:rPr>
          <w:rFonts w:hint="eastAsia" w:ascii="仿宋" w:hAnsi="仿宋" w:eastAsia="仿宋" w:cs="仿宋"/>
          <w:kern w:val="2"/>
          <w:sz w:val="28"/>
          <w:szCs w:val="28"/>
          <w:lang w:val="en-US" w:bidi="ar-SA"/>
        </w:rPr>
        <w:t>检验项目</w:t>
      </w:r>
    </w:p>
    <w:tbl>
      <w:tblPr>
        <w:tblStyle w:val="12"/>
        <w:tblW w:w="85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633"/>
        <w:gridCol w:w="632"/>
        <w:gridCol w:w="1425"/>
        <w:gridCol w:w="2550"/>
        <w:gridCol w:w="25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798" w:type="dxa"/>
            <w:noWrap w:val="0"/>
            <w:vAlign w:val="center"/>
          </w:tcPr>
          <w:p>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690" w:type="dxa"/>
            <w:gridSpan w:val="3"/>
            <w:noWrap w:val="0"/>
            <w:vAlign w:val="center"/>
          </w:tcPr>
          <w:p>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550" w:type="dxa"/>
            <w:noWrap w:val="0"/>
            <w:vAlign w:val="center"/>
          </w:tcPr>
          <w:p>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512" w:type="dxa"/>
            <w:noWrap w:val="0"/>
            <w:vAlign w:val="center"/>
          </w:tcPr>
          <w:p>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798" w:type="dxa"/>
            <w:vMerge w:val="restart"/>
            <w:noWrap w:val="0"/>
            <w:vAlign w:val="center"/>
          </w:tcPr>
          <w:p>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633" w:type="dxa"/>
            <w:vMerge w:val="restart"/>
            <w:noWrap w:val="0"/>
            <w:vAlign w:val="center"/>
          </w:tcPr>
          <w:p>
            <w:pPr>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sz w:val="24"/>
                <w:szCs w:val="24"/>
              </w:rPr>
              <w:t>渗透性能</w:t>
            </w:r>
            <w:r>
              <w:rPr>
                <w:rFonts w:hint="eastAsia" w:ascii="仿宋" w:hAnsi="仿宋" w:eastAsia="仿宋" w:cs="仿宋"/>
                <w:sz w:val="24"/>
                <w:szCs w:val="24"/>
                <w:vertAlign w:val="superscript"/>
              </w:rPr>
              <w:t>a</w:t>
            </w:r>
          </w:p>
        </w:tc>
        <w:tc>
          <w:tcPr>
            <w:tcW w:w="632" w:type="dxa"/>
            <w:vMerge w:val="restart"/>
            <w:noWrap w:val="0"/>
            <w:vAlign w:val="center"/>
          </w:tcPr>
          <w:p>
            <w:pPr>
              <w:jc w:val="center"/>
              <w:rPr>
                <w:rFonts w:hint="eastAsia" w:ascii="仿宋" w:hAnsi="仿宋" w:eastAsia="仿宋" w:cs="仿宋"/>
                <w:color w:val="000000"/>
                <w:sz w:val="24"/>
                <w:szCs w:val="24"/>
              </w:rPr>
            </w:pPr>
            <w:r>
              <w:rPr>
                <w:rFonts w:hint="eastAsia" w:ascii="仿宋" w:hAnsi="仿宋" w:eastAsia="仿宋" w:cs="仿宋"/>
                <w:sz w:val="24"/>
                <w:szCs w:val="24"/>
              </w:rPr>
              <w:t>吸收速度</w:t>
            </w:r>
          </w:p>
        </w:tc>
        <w:tc>
          <w:tcPr>
            <w:tcW w:w="1425"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sz w:val="24"/>
                <w:szCs w:val="24"/>
              </w:rPr>
              <w:t>第一次吸收速度</w:t>
            </w:r>
          </w:p>
        </w:tc>
        <w:tc>
          <w:tcPr>
            <w:tcW w:w="2550" w:type="dxa"/>
            <w:vMerge w:val="restart"/>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28004.2-2021</w:t>
            </w:r>
          </w:p>
        </w:tc>
        <w:tc>
          <w:tcPr>
            <w:tcW w:w="2512" w:type="dxa"/>
            <w:vMerge w:val="restart"/>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28004.2-2021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798" w:type="dxa"/>
            <w:vMerge w:val="continue"/>
            <w:noWrap w:val="0"/>
            <w:vAlign w:val="center"/>
          </w:tcPr>
          <w:p>
            <w:pPr>
              <w:snapToGrid w:val="0"/>
              <w:spacing w:line="300" w:lineRule="exact"/>
              <w:jc w:val="center"/>
              <w:rPr>
                <w:rFonts w:hint="eastAsia" w:ascii="仿宋" w:hAnsi="仿宋" w:eastAsia="仿宋" w:cs="仿宋"/>
                <w:color w:val="000000"/>
                <w:sz w:val="24"/>
                <w:szCs w:val="24"/>
              </w:rPr>
            </w:pPr>
          </w:p>
        </w:tc>
        <w:tc>
          <w:tcPr>
            <w:tcW w:w="633" w:type="dxa"/>
            <w:vMerge w:val="continue"/>
            <w:noWrap w:val="0"/>
            <w:vAlign w:val="center"/>
          </w:tcPr>
          <w:p>
            <w:pPr>
              <w:jc w:val="center"/>
              <w:rPr>
                <w:rFonts w:hint="eastAsia" w:ascii="仿宋" w:hAnsi="仿宋" w:eastAsia="仿宋" w:cs="仿宋"/>
                <w:color w:val="000000"/>
                <w:sz w:val="24"/>
                <w:szCs w:val="24"/>
              </w:rPr>
            </w:pPr>
          </w:p>
        </w:tc>
        <w:tc>
          <w:tcPr>
            <w:tcW w:w="632" w:type="dxa"/>
            <w:vMerge w:val="continue"/>
            <w:noWrap w:val="0"/>
            <w:vAlign w:val="center"/>
          </w:tcPr>
          <w:p>
            <w:pPr>
              <w:jc w:val="center"/>
              <w:rPr>
                <w:rFonts w:hint="eastAsia" w:ascii="仿宋" w:hAnsi="仿宋" w:eastAsia="仿宋" w:cs="仿宋"/>
                <w:color w:val="000000"/>
                <w:sz w:val="24"/>
                <w:szCs w:val="24"/>
              </w:rPr>
            </w:pPr>
          </w:p>
        </w:tc>
        <w:tc>
          <w:tcPr>
            <w:tcW w:w="1425"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sz w:val="24"/>
                <w:szCs w:val="24"/>
              </w:rPr>
              <w:t>第二次吸收速度</w:t>
            </w:r>
          </w:p>
        </w:tc>
        <w:tc>
          <w:tcPr>
            <w:tcW w:w="2550" w:type="dxa"/>
            <w:vMerge w:val="continue"/>
            <w:noWrap w:val="0"/>
            <w:vAlign w:val="center"/>
          </w:tcPr>
          <w:p>
            <w:pPr>
              <w:snapToGrid w:val="0"/>
              <w:jc w:val="center"/>
              <w:rPr>
                <w:rFonts w:hint="eastAsia" w:ascii="仿宋" w:hAnsi="仿宋" w:eastAsia="仿宋" w:cs="仿宋"/>
                <w:color w:val="000000"/>
                <w:sz w:val="24"/>
                <w:szCs w:val="24"/>
              </w:rPr>
            </w:pPr>
          </w:p>
        </w:tc>
        <w:tc>
          <w:tcPr>
            <w:tcW w:w="2512" w:type="dxa"/>
            <w:vMerge w:val="continue"/>
            <w:noWrap w:val="0"/>
            <w:vAlign w:val="center"/>
          </w:tcPr>
          <w:p>
            <w:pPr>
              <w:snapToGrid w:val="0"/>
              <w:jc w:val="center"/>
              <w:rPr>
                <w:rFonts w:hint="eastAsia"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pPr>
              <w:snapToGrid w:val="0"/>
              <w:spacing w:line="300" w:lineRule="exact"/>
              <w:jc w:val="center"/>
              <w:rPr>
                <w:rFonts w:hint="eastAsia" w:ascii="仿宋" w:hAnsi="仿宋" w:eastAsia="仿宋" w:cs="仿宋"/>
                <w:color w:val="000000"/>
                <w:sz w:val="24"/>
                <w:szCs w:val="24"/>
                <w:lang w:val="zh-CN" w:eastAsia="zh-CN" w:bidi="zh-CN"/>
              </w:rPr>
            </w:pPr>
            <w:r>
              <w:rPr>
                <w:rFonts w:hint="eastAsia" w:ascii="仿宋" w:hAnsi="仿宋" w:eastAsia="仿宋" w:cs="仿宋"/>
                <w:color w:val="000000"/>
                <w:sz w:val="24"/>
                <w:szCs w:val="24"/>
              </w:rPr>
              <w:t>2</w:t>
            </w:r>
          </w:p>
        </w:tc>
        <w:tc>
          <w:tcPr>
            <w:tcW w:w="633" w:type="dxa"/>
            <w:vMerge w:val="continue"/>
            <w:noWrap w:val="0"/>
            <w:vAlign w:val="center"/>
          </w:tcPr>
          <w:p>
            <w:pPr>
              <w:snapToGrid w:val="0"/>
              <w:spacing w:line="360" w:lineRule="auto"/>
              <w:jc w:val="center"/>
              <w:rPr>
                <w:rFonts w:hint="eastAsia" w:ascii="仿宋" w:hAnsi="仿宋" w:eastAsia="仿宋" w:cs="仿宋"/>
                <w:color w:val="000000"/>
                <w:sz w:val="24"/>
                <w:szCs w:val="24"/>
              </w:rPr>
            </w:pPr>
          </w:p>
        </w:tc>
        <w:tc>
          <w:tcPr>
            <w:tcW w:w="2057" w:type="dxa"/>
            <w:gridSpan w:val="2"/>
            <w:noWrap w:val="0"/>
            <w:vAlign w:val="center"/>
          </w:tcPr>
          <w:p>
            <w:pPr>
              <w:jc w:val="center"/>
              <w:rPr>
                <w:rFonts w:hint="eastAsia" w:ascii="仿宋" w:hAnsi="仿宋" w:eastAsia="仿宋" w:cs="仿宋"/>
                <w:color w:val="000000"/>
                <w:sz w:val="24"/>
                <w:szCs w:val="24"/>
              </w:rPr>
            </w:pPr>
            <w:r>
              <w:rPr>
                <w:rFonts w:hint="eastAsia" w:ascii="仿宋" w:hAnsi="仿宋" w:eastAsia="仿宋" w:cs="仿宋"/>
                <w:sz w:val="24"/>
                <w:szCs w:val="24"/>
              </w:rPr>
              <w:t>回渗量</w:t>
            </w:r>
          </w:p>
        </w:tc>
        <w:tc>
          <w:tcPr>
            <w:tcW w:w="2550"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28004.2-2021</w:t>
            </w:r>
          </w:p>
        </w:tc>
        <w:tc>
          <w:tcPr>
            <w:tcW w:w="2512" w:type="dxa"/>
            <w:vMerge w:val="continue"/>
            <w:noWrap w:val="0"/>
            <w:vAlign w:val="center"/>
          </w:tcPr>
          <w:p>
            <w:pPr>
              <w:snapToGrid w:val="0"/>
              <w:jc w:val="center"/>
              <w:rPr>
                <w:rFonts w:hint="eastAsia"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pPr>
              <w:snapToGrid w:val="0"/>
              <w:spacing w:line="300" w:lineRule="exact"/>
              <w:jc w:val="center"/>
              <w:rPr>
                <w:rFonts w:hint="eastAsia" w:ascii="仿宋" w:hAnsi="仿宋" w:eastAsia="仿宋" w:cs="仿宋"/>
                <w:color w:val="000000"/>
                <w:sz w:val="24"/>
                <w:szCs w:val="24"/>
                <w:lang w:val="zh-CN" w:eastAsia="zh-CN" w:bidi="zh-CN"/>
              </w:rPr>
            </w:pPr>
            <w:r>
              <w:rPr>
                <w:rFonts w:hint="eastAsia" w:ascii="仿宋" w:hAnsi="仿宋" w:eastAsia="仿宋" w:cs="仿宋"/>
                <w:color w:val="000000"/>
                <w:sz w:val="24"/>
                <w:szCs w:val="24"/>
              </w:rPr>
              <w:t>3</w:t>
            </w:r>
          </w:p>
        </w:tc>
        <w:tc>
          <w:tcPr>
            <w:tcW w:w="633" w:type="dxa"/>
            <w:vMerge w:val="continue"/>
            <w:noWrap w:val="0"/>
            <w:vAlign w:val="center"/>
          </w:tcPr>
          <w:p>
            <w:pPr>
              <w:snapToGrid w:val="0"/>
              <w:spacing w:line="360" w:lineRule="auto"/>
              <w:jc w:val="center"/>
              <w:rPr>
                <w:rFonts w:hint="eastAsia" w:ascii="仿宋" w:hAnsi="仿宋" w:eastAsia="仿宋" w:cs="仿宋"/>
                <w:color w:val="000000"/>
                <w:sz w:val="24"/>
                <w:szCs w:val="24"/>
                <w:lang w:eastAsia="en-US"/>
              </w:rPr>
            </w:pPr>
          </w:p>
        </w:tc>
        <w:tc>
          <w:tcPr>
            <w:tcW w:w="2057"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渗漏量</w:t>
            </w:r>
          </w:p>
        </w:tc>
        <w:tc>
          <w:tcPr>
            <w:tcW w:w="2550" w:type="dxa"/>
            <w:noWrap w:val="0"/>
            <w:vAlign w:val="center"/>
          </w:tcPr>
          <w:p>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GB/T 28004.2-2021</w:t>
            </w:r>
          </w:p>
        </w:tc>
        <w:tc>
          <w:tcPr>
            <w:tcW w:w="2512" w:type="dxa"/>
            <w:vMerge w:val="continue"/>
            <w:noWrap w:val="0"/>
            <w:vAlign w:val="center"/>
          </w:tcPr>
          <w:p>
            <w:pPr>
              <w:snapToGrid w:val="0"/>
              <w:jc w:val="center"/>
              <w:rPr>
                <w:rFonts w:hint="eastAsia" w:ascii="仿宋" w:hAnsi="仿宋" w:eastAsia="仿宋" w:cs="仿宋"/>
                <w:color w:val="000000"/>
                <w:sz w:val="24"/>
                <w:szCs w:val="24"/>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pPr>
              <w:snapToGrid w:val="0"/>
              <w:spacing w:line="300" w:lineRule="exact"/>
              <w:jc w:val="center"/>
              <w:rPr>
                <w:rFonts w:hint="eastAsia" w:ascii="仿宋" w:hAnsi="仿宋" w:eastAsia="仿宋" w:cs="仿宋"/>
                <w:color w:val="000000"/>
                <w:sz w:val="24"/>
                <w:szCs w:val="24"/>
                <w:lang w:val="zh-CN" w:eastAsia="zh-CN" w:bidi="zh-CN"/>
              </w:rPr>
            </w:pPr>
            <w:r>
              <w:rPr>
                <w:rFonts w:hint="eastAsia" w:ascii="仿宋" w:hAnsi="仿宋" w:eastAsia="仿宋" w:cs="仿宋"/>
                <w:color w:val="000000"/>
                <w:sz w:val="24"/>
                <w:szCs w:val="24"/>
              </w:rPr>
              <w:t>4</w:t>
            </w:r>
          </w:p>
        </w:tc>
        <w:tc>
          <w:tcPr>
            <w:tcW w:w="2690" w:type="dxa"/>
            <w:gridSpan w:val="3"/>
            <w:noWrap w:val="0"/>
            <w:vAlign w:val="center"/>
          </w:tcPr>
          <w:p>
            <w:pPr>
              <w:jc w:val="center"/>
              <w:rPr>
                <w:rFonts w:hint="eastAsia" w:ascii="仿宋" w:hAnsi="仿宋" w:eastAsia="仿宋" w:cs="仿宋"/>
                <w:color w:val="000000"/>
                <w:sz w:val="24"/>
                <w:szCs w:val="24"/>
              </w:rPr>
            </w:pPr>
            <w:r>
              <w:rPr>
                <w:rFonts w:hint="eastAsia" w:ascii="仿宋" w:hAnsi="仿宋" w:eastAsia="仿宋" w:cs="仿宋"/>
                <w:sz w:val="24"/>
                <w:szCs w:val="24"/>
              </w:rPr>
              <w:t>吸收倍率</w:t>
            </w:r>
            <w:r>
              <w:rPr>
                <w:rFonts w:hint="eastAsia" w:ascii="仿宋" w:hAnsi="仿宋" w:eastAsia="仿宋" w:cs="仿宋"/>
                <w:sz w:val="24"/>
                <w:szCs w:val="24"/>
                <w:vertAlign w:val="superscript"/>
              </w:rPr>
              <w:t>b</w:t>
            </w:r>
            <w:bookmarkStart w:id="0" w:name="_GoBack"/>
            <w:bookmarkEnd w:id="0"/>
          </w:p>
        </w:tc>
        <w:tc>
          <w:tcPr>
            <w:tcW w:w="2550"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28004.2-2021</w:t>
            </w:r>
          </w:p>
        </w:tc>
        <w:tc>
          <w:tcPr>
            <w:tcW w:w="2512"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28004.2-2021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rPr>
              <w:t>5</w:t>
            </w:r>
          </w:p>
        </w:tc>
        <w:tc>
          <w:tcPr>
            <w:tcW w:w="2690" w:type="dxa"/>
            <w:gridSpan w:val="3"/>
            <w:noWrap w:val="0"/>
            <w:vAlign w:val="center"/>
          </w:tcPr>
          <w:p>
            <w:pPr>
              <w:jc w:val="center"/>
              <w:rPr>
                <w:rFonts w:hint="eastAsia" w:ascii="仿宋" w:hAnsi="仿宋" w:eastAsia="仿宋" w:cs="仿宋"/>
                <w:color w:val="000000"/>
                <w:sz w:val="24"/>
                <w:szCs w:val="24"/>
              </w:rPr>
            </w:pPr>
            <w:r>
              <w:rPr>
                <w:rFonts w:hint="eastAsia" w:ascii="仿宋" w:hAnsi="仿宋" w:eastAsia="仿宋" w:cs="仿宋"/>
                <w:sz w:val="24"/>
                <w:szCs w:val="24"/>
              </w:rPr>
              <w:t>pH值</w:t>
            </w:r>
          </w:p>
        </w:tc>
        <w:tc>
          <w:tcPr>
            <w:tcW w:w="2550"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28004.2-2021</w:t>
            </w:r>
          </w:p>
        </w:tc>
        <w:tc>
          <w:tcPr>
            <w:tcW w:w="2512"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28004.2-2021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rPr>
              <w:t>6</w:t>
            </w:r>
          </w:p>
        </w:tc>
        <w:tc>
          <w:tcPr>
            <w:tcW w:w="2690" w:type="dxa"/>
            <w:gridSpan w:val="3"/>
            <w:noWrap w:val="0"/>
            <w:vAlign w:val="center"/>
          </w:tcPr>
          <w:p>
            <w:pPr>
              <w:jc w:val="center"/>
              <w:rPr>
                <w:rFonts w:hint="eastAsia" w:ascii="仿宋" w:hAnsi="仿宋" w:eastAsia="仿宋" w:cs="仿宋"/>
                <w:color w:val="000000"/>
                <w:sz w:val="24"/>
                <w:szCs w:val="24"/>
              </w:rPr>
            </w:pPr>
            <w:r>
              <w:rPr>
                <w:rFonts w:hint="eastAsia" w:ascii="仿宋" w:hAnsi="仿宋" w:eastAsia="仿宋" w:cs="仿宋"/>
                <w:sz w:val="24"/>
                <w:szCs w:val="24"/>
              </w:rPr>
              <w:t>可迁移性荧光物质</w:t>
            </w:r>
          </w:p>
        </w:tc>
        <w:tc>
          <w:tcPr>
            <w:tcW w:w="2550"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28004.2-2021</w:t>
            </w:r>
          </w:p>
        </w:tc>
        <w:tc>
          <w:tcPr>
            <w:tcW w:w="2512"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28004.2-2021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rPr>
              <w:t>7</w:t>
            </w:r>
          </w:p>
        </w:tc>
        <w:tc>
          <w:tcPr>
            <w:tcW w:w="2690" w:type="dxa"/>
            <w:gridSpan w:val="3"/>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甲醛含量</w:t>
            </w:r>
          </w:p>
        </w:tc>
        <w:tc>
          <w:tcPr>
            <w:tcW w:w="255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GB/T 28004.2-2021</w:t>
            </w:r>
          </w:p>
        </w:tc>
        <w:tc>
          <w:tcPr>
            <w:tcW w:w="2512"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34448-2017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jc w:val="center"/>
        </w:trPr>
        <w:tc>
          <w:tcPr>
            <w:tcW w:w="8550" w:type="dxa"/>
            <w:gridSpan w:val="6"/>
            <w:shd w:val="clear" w:color="auto" w:fill="auto"/>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备注：</w:t>
            </w:r>
          </w:p>
          <w:p>
            <w:pPr>
              <w:jc w:val="left"/>
              <w:rPr>
                <w:rFonts w:hint="eastAsia" w:ascii="仿宋" w:hAnsi="仿宋" w:eastAsia="仿宋" w:cs="仿宋"/>
                <w:sz w:val="24"/>
                <w:szCs w:val="24"/>
              </w:rPr>
            </w:pPr>
            <w:r>
              <w:rPr>
                <w:rFonts w:hint="eastAsia" w:ascii="仿宋" w:hAnsi="仿宋" w:eastAsia="仿宋" w:cs="仿宋"/>
                <w:sz w:val="24"/>
                <w:szCs w:val="24"/>
              </w:rPr>
              <w:t>a仅适用于中度或重度失禁用产品；</w:t>
            </w:r>
          </w:p>
          <w:p>
            <w:pPr>
              <w:snapToGrid w:val="0"/>
              <w:spacing w:line="300" w:lineRule="exact"/>
              <w:jc w:val="left"/>
              <w:rPr>
                <w:rFonts w:hint="eastAsia" w:ascii="仿宋" w:hAnsi="仿宋" w:eastAsia="仿宋" w:cs="仿宋"/>
                <w:color w:val="000000"/>
                <w:sz w:val="24"/>
                <w:szCs w:val="24"/>
                <w:lang w:val="en-US" w:eastAsia="zh-CN" w:bidi="zh-CN"/>
              </w:rPr>
            </w:pPr>
            <w:r>
              <w:rPr>
                <w:rFonts w:hint="eastAsia" w:ascii="仿宋" w:hAnsi="仿宋" w:eastAsia="仿宋" w:cs="仿宋"/>
                <w:sz w:val="24"/>
                <w:szCs w:val="24"/>
              </w:rPr>
              <w:t>b仅适用于轻度失禁用产品。</w:t>
            </w:r>
          </w:p>
        </w:tc>
      </w:tr>
    </w:tbl>
    <w:p>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28004.2-2021《纸尿裤 第2部分：成人纸尿裤》</w:t>
      </w:r>
    </w:p>
    <w:p>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53EEB9-E0FA-454E-8953-0F4C70D7BB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89015D93-D338-4714-9E87-A152CA094F58}"/>
  </w:font>
  <w:font w:name="华文仿宋">
    <w:panose1 w:val="02010600040101010101"/>
    <w:charset w:val="86"/>
    <w:family w:val="auto"/>
    <w:pitch w:val="default"/>
    <w:sig w:usb0="00000000" w:usb1="00000000" w:usb2="00000000" w:usb3="00000000" w:csb0="00000000" w:csb1="00000000"/>
    <w:embedRegular r:id="rId3" w:fontKey="{8B54D4D2-53F2-4BBB-9B64-229D0C12897D}"/>
  </w:font>
  <w:font w:name="仿宋">
    <w:panose1 w:val="02010609060101010101"/>
    <w:charset w:val="86"/>
    <w:family w:val="auto"/>
    <w:pitch w:val="default"/>
    <w:sig w:usb0="800002BF" w:usb1="38CF7CFA" w:usb2="00000016" w:usb3="00000000" w:csb0="00040001" w:csb1="00000000"/>
    <w:embedRegular r:id="rId4" w:fontKey="{12B1AB71-A9B3-4649-BB0F-E7120954E72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BeFMUs5wEAAMMDAAAOAAAAZHJzL2Uyb0RvYy54bWyt&#10;U9uO0zAQfUfiHyy/0zStwiVqulp2tQhpYZF2+QDHcRKLxGPGbpPy9YztpizwhnixxuPx8Tlnxrur&#10;eRzYUaHTYCqer9acKSOh0aar+Nenu1dvOXNemEYMYFTFT8rxq/3LF7vJlmoDPQyNQkYgxpWTrXjv&#10;vS2zzMlejcKtwCpDhy3gKDxtscsaFBOhj0O2Wa9fZxNgYxGkco6yt+mQ7yN+2yrpH9rWKc+GihM3&#10;H1eMax3WbL8TZYfC9lqeaYh/YDEKbejRC9St8IIdUP8FNWqJ4KD1KwljBm2rpYoaSE2+/kPNYy+s&#10;ilrIHGcvNrn/Bys/H78g003FN5wZMVKLntTs2XuYWR7cmawrqejRUpmfKU1djkqdvQf5zTEDN70w&#10;nbpGhKlXoiF28Wb27GrCcQGknj5BQ8+Ig4cINLc4BuvIDEbo1KXTpTOBiqTkNi+KdwVnko7yN9tt&#10;UQRumSiXyxad/6BgZCGoOFLjI7g43jufSpeS8JaBOz0MsfmD+S1BmCmj4vScbwcpgX3S4ed6PltT&#10;Q3MiUQhpsugnUNAD/uBsoqmquPt+EKg4Gz4aMiaM4BLgEtRLIIykqxX3nKXwxqdRPVjUXU/IyXoD&#10;12Req6OwQC2xIEPChiYlWnOe6jCKz/ex6tff2/8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2rdp&#10;pNoAAAANAQAADwAAAAAAAAABACAAAAAiAAAAZHJzL2Rvd25yZXYueG1sUEsBAhQAFAAAAAgAh07i&#10;QF4UxSznAQAAwwMAAA4AAAAAAAAAAQAgAAAAKQEAAGRycy9lMm9Eb2MueG1sUEsFBgAAAAAGAAYA&#10;WQEAAIIFAAAAAA==&#10;">
              <v:fill on="f" focussize="0,0"/>
              <v:stroke on="f"/>
              <v:imagedata o:title=""/>
              <o:lock v:ext="edit" aspectratio="f"/>
              <v:textbox inset="0mm,0mm,0mm,0mm">
                <w:txbxContent>
                  <w:p>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4AE0FFB"/>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0F696E"/>
    <w:rsid w:val="0A334D52"/>
    <w:rsid w:val="0A682522"/>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756176"/>
    <w:rsid w:val="13950723"/>
    <w:rsid w:val="1399374C"/>
    <w:rsid w:val="13C0517C"/>
    <w:rsid w:val="13F57B76"/>
    <w:rsid w:val="14023FCD"/>
    <w:rsid w:val="142F3EDE"/>
    <w:rsid w:val="149E54BE"/>
    <w:rsid w:val="14BD0584"/>
    <w:rsid w:val="14EA24B1"/>
    <w:rsid w:val="156A1844"/>
    <w:rsid w:val="158C3568"/>
    <w:rsid w:val="15DE18EA"/>
    <w:rsid w:val="15E72E94"/>
    <w:rsid w:val="15EC2259"/>
    <w:rsid w:val="163255E0"/>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B43819"/>
    <w:rsid w:val="1BD619E1"/>
    <w:rsid w:val="1BED2887"/>
    <w:rsid w:val="1C874A89"/>
    <w:rsid w:val="1C905219"/>
    <w:rsid w:val="1CCE26B8"/>
    <w:rsid w:val="1CD203FA"/>
    <w:rsid w:val="1CE7377A"/>
    <w:rsid w:val="1D721295"/>
    <w:rsid w:val="1D7F39B2"/>
    <w:rsid w:val="1DA65E17"/>
    <w:rsid w:val="1E29229C"/>
    <w:rsid w:val="1E4470D6"/>
    <w:rsid w:val="1EB63404"/>
    <w:rsid w:val="1ED815CC"/>
    <w:rsid w:val="1EDE58F5"/>
    <w:rsid w:val="1FC3402A"/>
    <w:rsid w:val="20607ACB"/>
    <w:rsid w:val="20A91472"/>
    <w:rsid w:val="20F46465"/>
    <w:rsid w:val="20FB77F4"/>
    <w:rsid w:val="211D776A"/>
    <w:rsid w:val="213D49A2"/>
    <w:rsid w:val="217A4BBD"/>
    <w:rsid w:val="21C347B6"/>
    <w:rsid w:val="21E62252"/>
    <w:rsid w:val="220B7F0B"/>
    <w:rsid w:val="22576CAC"/>
    <w:rsid w:val="228201CD"/>
    <w:rsid w:val="22857CBD"/>
    <w:rsid w:val="22BE4F7D"/>
    <w:rsid w:val="230010F2"/>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0373A0"/>
    <w:rsid w:val="2B204A27"/>
    <w:rsid w:val="2B8F395A"/>
    <w:rsid w:val="2BA271EA"/>
    <w:rsid w:val="2C3A1B18"/>
    <w:rsid w:val="2C504E98"/>
    <w:rsid w:val="2C8B4122"/>
    <w:rsid w:val="2D0A5122"/>
    <w:rsid w:val="2D53647D"/>
    <w:rsid w:val="2D7626DC"/>
    <w:rsid w:val="2D947006"/>
    <w:rsid w:val="2DB80F46"/>
    <w:rsid w:val="2DCA6ECC"/>
    <w:rsid w:val="2E6B5FB9"/>
    <w:rsid w:val="2EF37D5C"/>
    <w:rsid w:val="2EFA61C6"/>
    <w:rsid w:val="2FA71273"/>
    <w:rsid w:val="2FFC1107"/>
    <w:rsid w:val="3002294D"/>
    <w:rsid w:val="30112B90"/>
    <w:rsid w:val="30C80BB8"/>
    <w:rsid w:val="30F06C49"/>
    <w:rsid w:val="32AE0B6A"/>
    <w:rsid w:val="32FA5B5D"/>
    <w:rsid w:val="33386686"/>
    <w:rsid w:val="3379117D"/>
    <w:rsid w:val="33E81E5A"/>
    <w:rsid w:val="34585069"/>
    <w:rsid w:val="34873EF6"/>
    <w:rsid w:val="349A13A6"/>
    <w:rsid w:val="34BD32E6"/>
    <w:rsid w:val="35727C2D"/>
    <w:rsid w:val="3575771D"/>
    <w:rsid w:val="35870802"/>
    <w:rsid w:val="35FE3505"/>
    <w:rsid w:val="36146F36"/>
    <w:rsid w:val="36443B1B"/>
    <w:rsid w:val="36563EA7"/>
    <w:rsid w:val="368E6467"/>
    <w:rsid w:val="369D6F2B"/>
    <w:rsid w:val="36A24542"/>
    <w:rsid w:val="37133692"/>
    <w:rsid w:val="37521F82"/>
    <w:rsid w:val="37DA41AF"/>
    <w:rsid w:val="37F95C4C"/>
    <w:rsid w:val="37FE1C4C"/>
    <w:rsid w:val="383B4C4E"/>
    <w:rsid w:val="384B29B7"/>
    <w:rsid w:val="38740160"/>
    <w:rsid w:val="3875570F"/>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60328F"/>
    <w:rsid w:val="3C746980"/>
    <w:rsid w:val="3CBD0327"/>
    <w:rsid w:val="3D5347E8"/>
    <w:rsid w:val="3D803103"/>
    <w:rsid w:val="3DCE38C6"/>
    <w:rsid w:val="3E691DE9"/>
    <w:rsid w:val="3EE85DDF"/>
    <w:rsid w:val="3F0B2EA0"/>
    <w:rsid w:val="3F744EE9"/>
    <w:rsid w:val="3F7DE560"/>
    <w:rsid w:val="401F6C03"/>
    <w:rsid w:val="40464190"/>
    <w:rsid w:val="40534AFF"/>
    <w:rsid w:val="409018AF"/>
    <w:rsid w:val="412C7553"/>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07262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8F610E2"/>
    <w:rsid w:val="59284923"/>
    <w:rsid w:val="59CF1242"/>
    <w:rsid w:val="5A2C0443"/>
    <w:rsid w:val="5A8B33BB"/>
    <w:rsid w:val="5B6634E0"/>
    <w:rsid w:val="5B863B83"/>
    <w:rsid w:val="5B8A5421"/>
    <w:rsid w:val="5BAA161F"/>
    <w:rsid w:val="5BBE1D5E"/>
    <w:rsid w:val="5BEC1C38"/>
    <w:rsid w:val="5BF94355"/>
    <w:rsid w:val="5C1C7225"/>
    <w:rsid w:val="5C244968"/>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45D60"/>
    <w:rsid w:val="65660CAD"/>
    <w:rsid w:val="657B69AC"/>
    <w:rsid w:val="6589499B"/>
    <w:rsid w:val="65F04A1A"/>
    <w:rsid w:val="66014531"/>
    <w:rsid w:val="661204ED"/>
    <w:rsid w:val="66284546"/>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1C468E1"/>
    <w:rsid w:val="71DD6444"/>
    <w:rsid w:val="720C4FF4"/>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272834"/>
    <w:rsid w:val="7B354F51"/>
    <w:rsid w:val="7B424F78"/>
    <w:rsid w:val="7BB37C24"/>
    <w:rsid w:val="7BD36518"/>
    <w:rsid w:val="7C345209"/>
    <w:rsid w:val="7C6F5149"/>
    <w:rsid w:val="7C8B6DF3"/>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6">
    <w:name w:val="Body Text"/>
    <w:basedOn w:val="1"/>
    <w:link w:val="21"/>
    <w:qFormat/>
    <w:uiPriority w:val="1"/>
    <w:rPr>
      <w:sz w:val="21"/>
      <w:szCs w:val="21"/>
    </w:rPr>
  </w:style>
  <w:style w:type="paragraph" w:styleId="7">
    <w:name w:val="Body Text Indent"/>
    <w:basedOn w:val="1"/>
    <w:qFormat/>
    <w:uiPriority w:val="0"/>
    <w:pPr>
      <w:spacing w:after="120"/>
      <w:ind w:left="420" w:leftChars="200"/>
    </w:pPr>
  </w:style>
  <w:style w:type="paragraph" w:styleId="8">
    <w:name w:val="Balloon Text"/>
    <w:basedOn w:val="1"/>
    <w:link w:val="18"/>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unhideWhenUsed/>
    <w:qFormat/>
    <w:uiPriority w:val="99"/>
    <w:pPr>
      <w:ind w:firstLine="420" w:firstLineChars="200"/>
    </w:pPr>
    <w:rPr>
      <w:rFonts w:ascii="Times New Roman" w:hAnsi="Times New Roman"/>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5">
    <w:name w:val="Table Normal"/>
    <w:unhideWhenUsed/>
    <w:qFormat/>
    <w:uiPriority w:val="2"/>
    <w:tblPr>
      <w:tblLayout w:type="fixed"/>
      <w:tblCellMar>
        <w:top w:w="0" w:type="dxa"/>
        <w:left w:w="0" w:type="dxa"/>
        <w:bottom w:w="0" w:type="dxa"/>
        <w:right w:w="0" w:type="dxa"/>
      </w:tblCellMar>
    </w:tblPr>
  </w:style>
  <w:style w:type="paragraph" w:customStyle="1" w:styleId="16">
    <w:name w:val="列出段落1"/>
    <w:basedOn w:val="1"/>
    <w:qFormat/>
    <w:uiPriority w:val="1"/>
    <w:pPr>
      <w:ind w:left="227" w:firstLine="420"/>
    </w:pPr>
  </w:style>
  <w:style w:type="paragraph" w:customStyle="1" w:styleId="17">
    <w:name w:val="Table Paragraph"/>
    <w:basedOn w:val="1"/>
    <w:qFormat/>
    <w:uiPriority w:val="1"/>
  </w:style>
  <w:style w:type="character" w:customStyle="1" w:styleId="18">
    <w:name w:val="批注框文本 字符"/>
    <w:basedOn w:val="14"/>
    <w:link w:val="8"/>
    <w:semiHidden/>
    <w:qFormat/>
    <w:uiPriority w:val="99"/>
    <w:rPr>
      <w:rFonts w:ascii="宋体" w:hAnsi="宋体" w:eastAsia="宋体" w:cs="宋体"/>
      <w:sz w:val="18"/>
      <w:szCs w:val="18"/>
      <w:lang w:val="zh-CN" w:eastAsia="zh-CN" w:bidi="zh-CN"/>
    </w:rPr>
  </w:style>
  <w:style w:type="character" w:customStyle="1" w:styleId="19">
    <w:name w:val="页眉 字符"/>
    <w:basedOn w:val="14"/>
    <w:link w:val="10"/>
    <w:qFormat/>
    <w:uiPriority w:val="99"/>
    <w:rPr>
      <w:rFonts w:ascii="宋体" w:hAnsi="宋体" w:eastAsia="宋体" w:cs="宋体"/>
      <w:sz w:val="18"/>
      <w:szCs w:val="18"/>
      <w:lang w:val="zh-CN" w:eastAsia="zh-CN" w:bidi="zh-CN"/>
    </w:rPr>
  </w:style>
  <w:style w:type="character" w:customStyle="1" w:styleId="20">
    <w:name w:val="页脚 字符"/>
    <w:basedOn w:val="14"/>
    <w:link w:val="9"/>
    <w:qFormat/>
    <w:uiPriority w:val="99"/>
    <w:rPr>
      <w:rFonts w:ascii="宋体" w:hAnsi="宋体" w:eastAsia="宋体" w:cs="宋体"/>
      <w:sz w:val="18"/>
      <w:szCs w:val="18"/>
      <w:lang w:val="zh-CN" w:eastAsia="zh-CN" w:bidi="zh-CN"/>
    </w:rPr>
  </w:style>
  <w:style w:type="character" w:customStyle="1" w:styleId="21">
    <w:name w:val="正文文本 字符"/>
    <w:basedOn w:val="14"/>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1227</Words>
  <Characters>1787</Characters>
  <Lines>10</Lines>
  <Paragraphs>2</Paragraphs>
  <TotalTime>4</TotalTime>
  <ScaleCrop>false</ScaleCrop>
  <LinksUpToDate>false</LinksUpToDate>
  <CharactersWithSpaces>1841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納尼</cp:lastModifiedBy>
  <dcterms:modified xsi:type="dcterms:W3CDTF">2026-03-13T05:35:07Z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2052-11.1.0.9021</vt:lpwstr>
  </property>
  <property fmtid="{D5CDD505-2E9C-101B-9397-08002B2CF9AE}" pid="6" name="ICV">
    <vt:lpwstr>2D7D1D392B6D4A88A1C6506EBDE35968_13</vt:lpwstr>
  </property>
  <property fmtid="{D5CDD505-2E9C-101B-9397-08002B2CF9AE}" pid="7" name="KSOTemplateDocerSaveRecord">
    <vt:lpwstr>eyJoZGlkIjoiZTBhOWVkYmUxNzIxNjA1NDFiYzg1MTM4MjRiZDYyMTciLCJ1c2VySWQiOiI0Mzc1NDU0NTEifQ==</vt:lpwstr>
  </property>
</Properties>
</file>