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D83D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婴幼儿纸尿裤（片、垫）</w:t>
      </w:r>
      <w:r>
        <w:rPr>
          <w:rFonts w:hint="eastAsia" w:ascii="方正小标宋_GBK" w:hAnsi="华文仿宋" w:eastAsia="方正小标宋_GBK" w:cs="华文仿宋"/>
          <w:bCs/>
          <w:color w:val="000000"/>
          <w:kern w:val="2"/>
          <w:sz w:val="44"/>
          <w:szCs w:val="44"/>
          <w:lang w:val="en-US" w:bidi="ar-SA"/>
        </w:rPr>
        <w:t>产品质量监督抽查实施细则</w:t>
      </w:r>
    </w:p>
    <w:p w14:paraId="201A7DC6">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3C2AADA6">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51562AF9">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婴幼儿纸尿裤（片、垫）</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4CC0BFBC">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18B486C9">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0294EFB7">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7DDF052D">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0FB8F20D">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4包</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2包（每包不少于20片）作为检验样品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2包（每包不少于20片）作为备用样品。</w:t>
      </w:r>
    </w:p>
    <w:p w14:paraId="15C55C77">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80C039D">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婴幼儿纸尿裤（片、垫）产品</w:t>
      </w:r>
      <w:r>
        <w:rPr>
          <w:rFonts w:hint="eastAsia" w:ascii="仿宋" w:hAnsi="仿宋" w:eastAsia="仿宋" w:cs="仿宋"/>
          <w:kern w:val="2"/>
          <w:sz w:val="28"/>
          <w:szCs w:val="28"/>
          <w:lang w:val="en-US" w:bidi="ar-SA"/>
        </w:rPr>
        <w:t>检验项目</w:t>
      </w:r>
    </w:p>
    <w:tbl>
      <w:tblPr>
        <w:tblStyle w:val="12"/>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633"/>
        <w:gridCol w:w="632"/>
        <w:gridCol w:w="1425"/>
        <w:gridCol w:w="2550"/>
        <w:gridCol w:w="2512"/>
      </w:tblGrid>
      <w:tr w14:paraId="70492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DCC180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90" w:type="dxa"/>
            <w:gridSpan w:val="3"/>
            <w:noWrap w:val="0"/>
            <w:vAlign w:val="center"/>
          </w:tcPr>
          <w:p w14:paraId="14822AC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550" w:type="dxa"/>
            <w:noWrap w:val="0"/>
            <w:vAlign w:val="center"/>
          </w:tcPr>
          <w:p w14:paraId="3BB9D48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512" w:type="dxa"/>
            <w:noWrap w:val="0"/>
            <w:vAlign w:val="center"/>
          </w:tcPr>
          <w:p w14:paraId="7E70E08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6C0F4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vMerge w:val="restart"/>
            <w:noWrap w:val="0"/>
            <w:vAlign w:val="center"/>
          </w:tcPr>
          <w:p w14:paraId="4B135ED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633" w:type="dxa"/>
            <w:vMerge w:val="restart"/>
            <w:noWrap w:val="0"/>
            <w:vAlign w:val="center"/>
          </w:tcPr>
          <w:p w14:paraId="3358E9C3">
            <w:pPr>
              <w:snapToGrid w:val="0"/>
              <w:spacing w:line="360" w:lineRule="auto"/>
              <w:jc w:val="center"/>
              <w:rPr>
                <w:rFonts w:hint="eastAsia" w:ascii="仿宋" w:hAnsi="仿宋" w:eastAsia="仿宋" w:cs="仿宋"/>
                <w:color w:val="000000"/>
                <w:sz w:val="24"/>
                <w:szCs w:val="24"/>
              </w:rPr>
            </w:pPr>
            <w:r>
              <w:rPr>
                <w:rFonts w:hint="eastAsia" w:ascii="仿宋_GB2312" w:hAnsi="仿宋_GB2312" w:eastAsia="仿宋_GB2312" w:cs="仿宋_GB2312"/>
                <w:szCs w:val="21"/>
              </w:rPr>
              <w:t>渗透性能</w:t>
            </w:r>
          </w:p>
        </w:tc>
        <w:tc>
          <w:tcPr>
            <w:tcW w:w="632" w:type="dxa"/>
            <w:vMerge w:val="restart"/>
            <w:noWrap w:val="0"/>
            <w:vAlign w:val="center"/>
          </w:tcPr>
          <w:p w14:paraId="71A9B354">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吸收速度</w:t>
            </w:r>
          </w:p>
        </w:tc>
        <w:tc>
          <w:tcPr>
            <w:tcW w:w="1425" w:type="dxa"/>
            <w:noWrap w:val="0"/>
            <w:vAlign w:val="center"/>
          </w:tcPr>
          <w:p w14:paraId="26A752D8">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第一次吸收速度</w:t>
            </w:r>
          </w:p>
        </w:tc>
        <w:tc>
          <w:tcPr>
            <w:tcW w:w="2550" w:type="dxa"/>
            <w:vMerge w:val="restart"/>
            <w:noWrap w:val="0"/>
            <w:vAlign w:val="center"/>
          </w:tcPr>
          <w:p w14:paraId="2F923634">
            <w:pPr>
              <w:snapToGrid w:val="0"/>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c>
          <w:tcPr>
            <w:tcW w:w="2512" w:type="dxa"/>
            <w:vMerge w:val="restart"/>
            <w:noWrap w:val="0"/>
            <w:vAlign w:val="center"/>
          </w:tcPr>
          <w:p w14:paraId="17D16633">
            <w:pPr>
              <w:snapToGrid w:val="0"/>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r>
      <w:tr w14:paraId="22663E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vMerge w:val="continue"/>
            <w:noWrap w:val="0"/>
            <w:vAlign w:val="center"/>
          </w:tcPr>
          <w:p w14:paraId="21E5017C">
            <w:pPr>
              <w:snapToGrid w:val="0"/>
              <w:spacing w:line="300" w:lineRule="exact"/>
              <w:jc w:val="center"/>
              <w:rPr>
                <w:rFonts w:hint="eastAsia" w:ascii="仿宋" w:hAnsi="仿宋" w:eastAsia="仿宋" w:cs="仿宋"/>
                <w:color w:val="000000"/>
                <w:sz w:val="24"/>
                <w:szCs w:val="24"/>
              </w:rPr>
            </w:pPr>
          </w:p>
        </w:tc>
        <w:tc>
          <w:tcPr>
            <w:tcW w:w="633" w:type="dxa"/>
            <w:vMerge w:val="continue"/>
            <w:noWrap w:val="0"/>
            <w:vAlign w:val="center"/>
          </w:tcPr>
          <w:p w14:paraId="3FF7DF43">
            <w:pPr>
              <w:jc w:val="center"/>
              <w:rPr>
                <w:rFonts w:hint="eastAsia" w:ascii="仿宋" w:hAnsi="仿宋" w:eastAsia="仿宋" w:cs="仿宋"/>
                <w:color w:val="000000"/>
                <w:sz w:val="24"/>
                <w:szCs w:val="24"/>
              </w:rPr>
            </w:pPr>
          </w:p>
        </w:tc>
        <w:tc>
          <w:tcPr>
            <w:tcW w:w="632" w:type="dxa"/>
            <w:vMerge w:val="continue"/>
            <w:noWrap w:val="0"/>
            <w:vAlign w:val="center"/>
          </w:tcPr>
          <w:p w14:paraId="5CA71968">
            <w:pPr>
              <w:jc w:val="center"/>
              <w:rPr>
                <w:rFonts w:hint="eastAsia" w:ascii="仿宋" w:hAnsi="仿宋" w:eastAsia="仿宋" w:cs="仿宋"/>
                <w:color w:val="000000"/>
                <w:sz w:val="24"/>
                <w:szCs w:val="24"/>
              </w:rPr>
            </w:pPr>
          </w:p>
        </w:tc>
        <w:tc>
          <w:tcPr>
            <w:tcW w:w="1425" w:type="dxa"/>
            <w:noWrap w:val="0"/>
            <w:vAlign w:val="center"/>
          </w:tcPr>
          <w:p w14:paraId="2BC9BF0E">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第二次吸收速度</w:t>
            </w:r>
          </w:p>
        </w:tc>
        <w:tc>
          <w:tcPr>
            <w:tcW w:w="2550" w:type="dxa"/>
            <w:vMerge w:val="continue"/>
            <w:noWrap w:val="0"/>
            <w:vAlign w:val="center"/>
          </w:tcPr>
          <w:p w14:paraId="15E5C9D7">
            <w:pPr>
              <w:snapToGrid w:val="0"/>
              <w:jc w:val="center"/>
              <w:rPr>
                <w:rFonts w:hint="eastAsia" w:ascii="仿宋" w:hAnsi="仿宋" w:eastAsia="仿宋" w:cs="仿宋"/>
                <w:color w:val="000000"/>
                <w:sz w:val="24"/>
                <w:szCs w:val="24"/>
              </w:rPr>
            </w:pPr>
          </w:p>
        </w:tc>
        <w:tc>
          <w:tcPr>
            <w:tcW w:w="2512" w:type="dxa"/>
            <w:vMerge w:val="continue"/>
            <w:noWrap w:val="0"/>
            <w:vAlign w:val="center"/>
          </w:tcPr>
          <w:p w14:paraId="0327EB7B">
            <w:pPr>
              <w:snapToGrid w:val="0"/>
              <w:jc w:val="center"/>
              <w:rPr>
                <w:rFonts w:hint="eastAsia" w:ascii="仿宋" w:hAnsi="仿宋" w:eastAsia="仿宋" w:cs="仿宋"/>
                <w:color w:val="000000"/>
                <w:sz w:val="24"/>
                <w:szCs w:val="24"/>
              </w:rPr>
            </w:pPr>
          </w:p>
        </w:tc>
      </w:tr>
      <w:tr w14:paraId="0B0E6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7A064ADA">
            <w:pPr>
              <w:snapToGrid w:val="0"/>
              <w:spacing w:line="300" w:lineRule="exact"/>
              <w:jc w:val="center"/>
              <w:rPr>
                <w:rFonts w:hint="eastAsia" w:ascii="仿宋" w:hAnsi="仿宋" w:eastAsia="仿宋" w:cs="仿宋"/>
                <w:color w:val="000000"/>
                <w:sz w:val="24"/>
                <w:szCs w:val="24"/>
                <w:lang w:val="zh-CN" w:eastAsia="zh-CN" w:bidi="zh-CN"/>
              </w:rPr>
            </w:pPr>
            <w:r>
              <w:rPr>
                <w:rFonts w:hint="eastAsia" w:ascii="仿宋" w:hAnsi="仿宋" w:eastAsia="仿宋" w:cs="仿宋"/>
                <w:color w:val="000000"/>
                <w:sz w:val="24"/>
                <w:szCs w:val="24"/>
              </w:rPr>
              <w:t>2</w:t>
            </w:r>
          </w:p>
        </w:tc>
        <w:tc>
          <w:tcPr>
            <w:tcW w:w="633" w:type="dxa"/>
            <w:vMerge w:val="continue"/>
            <w:noWrap w:val="0"/>
            <w:vAlign w:val="center"/>
          </w:tcPr>
          <w:p w14:paraId="593DDD08">
            <w:pPr>
              <w:snapToGrid w:val="0"/>
              <w:spacing w:line="360" w:lineRule="auto"/>
              <w:jc w:val="center"/>
              <w:rPr>
                <w:rFonts w:hint="eastAsia" w:ascii="仿宋" w:hAnsi="仿宋" w:eastAsia="仿宋" w:cs="仿宋"/>
                <w:color w:val="000000"/>
                <w:sz w:val="24"/>
                <w:szCs w:val="24"/>
              </w:rPr>
            </w:pPr>
          </w:p>
        </w:tc>
        <w:tc>
          <w:tcPr>
            <w:tcW w:w="2057" w:type="dxa"/>
            <w:gridSpan w:val="2"/>
            <w:noWrap w:val="0"/>
            <w:vAlign w:val="center"/>
          </w:tcPr>
          <w:p w14:paraId="3B859BCE">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回渗量</w:t>
            </w:r>
          </w:p>
        </w:tc>
        <w:tc>
          <w:tcPr>
            <w:tcW w:w="2550" w:type="dxa"/>
            <w:noWrap w:val="0"/>
            <w:vAlign w:val="center"/>
          </w:tcPr>
          <w:p w14:paraId="11326D98">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c>
          <w:tcPr>
            <w:tcW w:w="2512" w:type="dxa"/>
            <w:vMerge w:val="continue"/>
            <w:noWrap w:val="0"/>
            <w:vAlign w:val="center"/>
          </w:tcPr>
          <w:p w14:paraId="2C41C713">
            <w:pPr>
              <w:snapToGrid w:val="0"/>
              <w:jc w:val="center"/>
              <w:rPr>
                <w:rFonts w:hint="eastAsia" w:ascii="仿宋" w:hAnsi="仿宋" w:eastAsia="仿宋" w:cs="仿宋"/>
                <w:color w:val="000000"/>
                <w:sz w:val="24"/>
                <w:szCs w:val="24"/>
              </w:rPr>
            </w:pPr>
          </w:p>
        </w:tc>
      </w:tr>
      <w:tr w14:paraId="176C8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5FF97778">
            <w:pPr>
              <w:snapToGrid w:val="0"/>
              <w:spacing w:line="300" w:lineRule="exact"/>
              <w:jc w:val="center"/>
              <w:rPr>
                <w:rFonts w:hint="eastAsia" w:ascii="仿宋" w:hAnsi="仿宋" w:eastAsia="仿宋" w:cs="仿宋"/>
                <w:color w:val="000000"/>
                <w:sz w:val="24"/>
                <w:szCs w:val="24"/>
                <w:lang w:val="zh-CN" w:eastAsia="zh-CN" w:bidi="zh-CN"/>
              </w:rPr>
            </w:pPr>
            <w:r>
              <w:rPr>
                <w:rFonts w:hint="eastAsia" w:ascii="仿宋" w:hAnsi="仿宋" w:eastAsia="仿宋" w:cs="仿宋"/>
                <w:color w:val="000000"/>
                <w:sz w:val="24"/>
                <w:szCs w:val="24"/>
              </w:rPr>
              <w:t>3</w:t>
            </w:r>
          </w:p>
        </w:tc>
        <w:tc>
          <w:tcPr>
            <w:tcW w:w="633" w:type="dxa"/>
            <w:vMerge w:val="continue"/>
            <w:noWrap w:val="0"/>
            <w:vAlign w:val="center"/>
          </w:tcPr>
          <w:p w14:paraId="5AE34E3D">
            <w:pPr>
              <w:snapToGrid w:val="0"/>
              <w:spacing w:line="360" w:lineRule="auto"/>
              <w:jc w:val="center"/>
              <w:rPr>
                <w:rFonts w:hint="eastAsia" w:ascii="仿宋" w:hAnsi="仿宋" w:eastAsia="仿宋" w:cs="仿宋"/>
                <w:color w:val="000000"/>
                <w:sz w:val="24"/>
                <w:szCs w:val="24"/>
                <w:lang w:eastAsia="en-US"/>
              </w:rPr>
            </w:pPr>
          </w:p>
        </w:tc>
        <w:tc>
          <w:tcPr>
            <w:tcW w:w="2057" w:type="dxa"/>
            <w:gridSpan w:val="2"/>
            <w:noWrap w:val="0"/>
            <w:vAlign w:val="center"/>
          </w:tcPr>
          <w:p w14:paraId="2F29C2B0">
            <w:pPr>
              <w:jc w:val="center"/>
              <w:rPr>
                <w:rFonts w:hint="eastAsia" w:ascii="仿宋" w:hAnsi="仿宋" w:eastAsia="仿宋" w:cs="仿宋"/>
                <w:sz w:val="24"/>
                <w:szCs w:val="24"/>
              </w:rPr>
            </w:pPr>
            <w:r>
              <w:rPr>
                <w:rFonts w:hint="eastAsia" w:ascii="仿宋_GB2312" w:hAnsi="仿宋_GB2312" w:eastAsia="仿宋_GB2312" w:cs="仿宋_GB2312"/>
                <w:szCs w:val="21"/>
              </w:rPr>
              <w:t>渗漏量</w:t>
            </w:r>
          </w:p>
        </w:tc>
        <w:tc>
          <w:tcPr>
            <w:tcW w:w="2550" w:type="dxa"/>
            <w:noWrap w:val="0"/>
            <w:vAlign w:val="center"/>
          </w:tcPr>
          <w:p w14:paraId="7EE9713A">
            <w:pPr>
              <w:jc w:val="center"/>
              <w:rPr>
                <w:rFonts w:hint="eastAsia" w:ascii="仿宋" w:hAnsi="仿宋" w:eastAsia="仿宋" w:cs="仿宋"/>
                <w:color w:val="000000"/>
                <w:sz w:val="24"/>
                <w:szCs w:val="24"/>
                <w:lang w:eastAsia="en-US"/>
              </w:rPr>
            </w:pPr>
            <w:r>
              <w:rPr>
                <w:rFonts w:hint="eastAsia" w:ascii="仿宋_GB2312" w:hAnsi="仿宋_GB2312" w:eastAsia="仿宋_GB2312" w:cs="仿宋_GB2312"/>
                <w:szCs w:val="21"/>
              </w:rPr>
              <w:t>GB/T 28004.1-2021</w:t>
            </w:r>
          </w:p>
        </w:tc>
        <w:tc>
          <w:tcPr>
            <w:tcW w:w="2512" w:type="dxa"/>
            <w:vMerge w:val="continue"/>
            <w:noWrap w:val="0"/>
            <w:vAlign w:val="center"/>
          </w:tcPr>
          <w:p w14:paraId="1835C893">
            <w:pPr>
              <w:snapToGrid w:val="0"/>
              <w:jc w:val="center"/>
              <w:rPr>
                <w:rFonts w:hint="eastAsia" w:ascii="仿宋" w:hAnsi="仿宋" w:eastAsia="仿宋" w:cs="仿宋"/>
                <w:color w:val="000000"/>
                <w:sz w:val="24"/>
                <w:szCs w:val="24"/>
                <w:lang w:eastAsia="en-US"/>
              </w:rPr>
            </w:pPr>
          </w:p>
        </w:tc>
      </w:tr>
      <w:tr w14:paraId="1E566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04C6F988">
            <w:pPr>
              <w:snapToGrid w:val="0"/>
              <w:spacing w:line="300" w:lineRule="exact"/>
              <w:jc w:val="center"/>
              <w:rPr>
                <w:rFonts w:hint="eastAsia" w:ascii="仿宋" w:hAnsi="仿宋" w:eastAsia="仿宋" w:cs="仿宋"/>
                <w:color w:val="000000"/>
                <w:sz w:val="24"/>
                <w:szCs w:val="24"/>
                <w:lang w:val="zh-CN" w:eastAsia="zh-CN" w:bidi="zh-CN"/>
              </w:rPr>
            </w:pPr>
            <w:r>
              <w:rPr>
                <w:rFonts w:hint="eastAsia" w:ascii="仿宋" w:hAnsi="仿宋" w:eastAsia="仿宋" w:cs="仿宋"/>
                <w:color w:val="000000"/>
                <w:sz w:val="24"/>
                <w:szCs w:val="24"/>
              </w:rPr>
              <w:t>4</w:t>
            </w:r>
          </w:p>
        </w:tc>
        <w:tc>
          <w:tcPr>
            <w:tcW w:w="2690" w:type="dxa"/>
            <w:gridSpan w:val="3"/>
            <w:noWrap w:val="0"/>
            <w:vAlign w:val="center"/>
          </w:tcPr>
          <w:p w14:paraId="6B7DF0E5">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pH值</w:t>
            </w:r>
          </w:p>
        </w:tc>
        <w:tc>
          <w:tcPr>
            <w:tcW w:w="2550" w:type="dxa"/>
            <w:noWrap w:val="0"/>
            <w:vAlign w:val="center"/>
          </w:tcPr>
          <w:p w14:paraId="30975054">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c>
          <w:tcPr>
            <w:tcW w:w="2512" w:type="dxa"/>
            <w:noWrap w:val="0"/>
            <w:vAlign w:val="center"/>
          </w:tcPr>
          <w:p w14:paraId="2A0B64B9">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r>
      <w:tr w14:paraId="70265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35C14852">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rPr>
              <w:t>5</w:t>
            </w:r>
          </w:p>
        </w:tc>
        <w:tc>
          <w:tcPr>
            <w:tcW w:w="2690" w:type="dxa"/>
            <w:gridSpan w:val="3"/>
            <w:noWrap w:val="0"/>
            <w:vAlign w:val="center"/>
          </w:tcPr>
          <w:p w14:paraId="6880DC17">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铅</w:t>
            </w:r>
          </w:p>
        </w:tc>
        <w:tc>
          <w:tcPr>
            <w:tcW w:w="2550" w:type="dxa"/>
            <w:noWrap w:val="0"/>
            <w:vAlign w:val="center"/>
          </w:tcPr>
          <w:p w14:paraId="72DDAB40">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c>
          <w:tcPr>
            <w:tcW w:w="2512" w:type="dxa"/>
            <w:noWrap w:val="0"/>
            <w:vAlign w:val="center"/>
          </w:tcPr>
          <w:p w14:paraId="4287FC6F">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《化妆品安全技术规范》（2015年版）（第四章 1.6）</w:t>
            </w:r>
          </w:p>
          <w:p w14:paraId="5E19E452">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r>
      <w:tr w14:paraId="6B3A1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665E3B6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w:t>
            </w:r>
          </w:p>
        </w:tc>
        <w:tc>
          <w:tcPr>
            <w:tcW w:w="2690" w:type="dxa"/>
            <w:gridSpan w:val="3"/>
            <w:noWrap w:val="0"/>
            <w:vAlign w:val="center"/>
          </w:tcPr>
          <w:p w14:paraId="166179F7">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砷</w:t>
            </w:r>
          </w:p>
        </w:tc>
        <w:tc>
          <w:tcPr>
            <w:tcW w:w="2550" w:type="dxa"/>
            <w:noWrap w:val="0"/>
            <w:vAlign w:val="center"/>
          </w:tcPr>
          <w:p w14:paraId="23E3DA5B">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c>
          <w:tcPr>
            <w:tcW w:w="2512" w:type="dxa"/>
            <w:noWrap w:val="0"/>
            <w:vAlign w:val="center"/>
          </w:tcPr>
          <w:p w14:paraId="6FE3565F">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《化妆品安全技术规范》（2015年版）（第四</w:t>
            </w:r>
            <w:bookmarkStart w:id="0" w:name="_GoBack"/>
            <w:bookmarkEnd w:id="0"/>
            <w:r>
              <w:rPr>
                <w:rFonts w:hint="eastAsia" w:ascii="仿宋" w:hAnsi="仿宋" w:eastAsia="仿宋" w:cs="仿宋"/>
                <w:color w:val="000000"/>
                <w:sz w:val="24"/>
                <w:szCs w:val="24"/>
                <w:lang w:val="en-US" w:eastAsia="zh-CN" w:bidi="zh-CN"/>
              </w:rPr>
              <w:t>章 1.6）</w:t>
            </w:r>
          </w:p>
          <w:p w14:paraId="778068B8">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r>
      <w:tr w14:paraId="36964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7973855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w:t>
            </w:r>
          </w:p>
        </w:tc>
        <w:tc>
          <w:tcPr>
            <w:tcW w:w="2690" w:type="dxa"/>
            <w:gridSpan w:val="3"/>
            <w:noWrap w:val="0"/>
            <w:vAlign w:val="center"/>
          </w:tcPr>
          <w:p w14:paraId="6EFDB25D">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镉</w:t>
            </w:r>
          </w:p>
        </w:tc>
        <w:tc>
          <w:tcPr>
            <w:tcW w:w="2550" w:type="dxa"/>
            <w:noWrap w:val="0"/>
            <w:vAlign w:val="center"/>
          </w:tcPr>
          <w:p w14:paraId="4F3A56BC">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c>
          <w:tcPr>
            <w:tcW w:w="2512" w:type="dxa"/>
            <w:noWrap w:val="0"/>
            <w:vAlign w:val="center"/>
          </w:tcPr>
          <w:p w14:paraId="291D502A">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《化妆品安全技术规范》（2015年版）（第四章 1.6）</w:t>
            </w:r>
          </w:p>
          <w:p w14:paraId="423F684F">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r>
      <w:tr w14:paraId="533C1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30BD680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w:t>
            </w:r>
          </w:p>
        </w:tc>
        <w:tc>
          <w:tcPr>
            <w:tcW w:w="2690" w:type="dxa"/>
            <w:gridSpan w:val="3"/>
            <w:noWrap w:val="0"/>
            <w:vAlign w:val="center"/>
          </w:tcPr>
          <w:p w14:paraId="1A7755C3">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汞</w:t>
            </w:r>
          </w:p>
        </w:tc>
        <w:tc>
          <w:tcPr>
            <w:tcW w:w="2550" w:type="dxa"/>
            <w:noWrap w:val="0"/>
            <w:vAlign w:val="center"/>
          </w:tcPr>
          <w:p w14:paraId="3E0D5454">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c>
          <w:tcPr>
            <w:tcW w:w="2512" w:type="dxa"/>
            <w:noWrap w:val="0"/>
            <w:vAlign w:val="center"/>
          </w:tcPr>
          <w:p w14:paraId="584E8BC6">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《化妆品安全技术规范》（2015年版）（第四章 1.6）</w:t>
            </w:r>
          </w:p>
          <w:p w14:paraId="09F792F9">
            <w:pPr>
              <w:snapToGrid w:val="0"/>
              <w:spacing w:line="300" w:lineRule="exact"/>
              <w:jc w:val="center"/>
              <w:rPr>
                <w:rFonts w:hint="eastAsia"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GB/T 28004.1-2021</w:t>
            </w:r>
          </w:p>
        </w:tc>
      </w:tr>
      <w:tr w14:paraId="57B26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0EA5D114">
            <w:pPr>
              <w:snapToGrid w:val="0"/>
              <w:spacing w:line="300" w:lineRule="exact"/>
              <w:jc w:val="center"/>
              <w:rPr>
                <w:rFonts w:hint="default"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9</w:t>
            </w:r>
          </w:p>
        </w:tc>
        <w:tc>
          <w:tcPr>
            <w:tcW w:w="2690" w:type="dxa"/>
            <w:gridSpan w:val="3"/>
            <w:noWrap w:val="0"/>
            <w:vAlign w:val="center"/>
          </w:tcPr>
          <w:p w14:paraId="589A3BD1">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可迁移性荧光物质</w:t>
            </w:r>
          </w:p>
        </w:tc>
        <w:tc>
          <w:tcPr>
            <w:tcW w:w="2550" w:type="dxa"/>
            <w:noWrap w:val="0"/>
            <w:vAlign w:val="center"/>
          </w:tcPr>
          <w:p w14:paraId="17EA3104">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c>
          <w:tcPr>
            <w:tcW w:w="2512" w:type="dxa"/>
            <w:noWrap w:val="0"/>
            <w:vAlign w:val="center"/>
          </w:tcPr>
          <w:p w14:paraId="1EEDE5EF">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28004.1-2021</w:t>
            </w:r>
          </w:p>
        </w:tc>
      </w:tr>
      <w:tr w14:paraId="52770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410BD906">
            <w:pPr>
              <w:snapToGrid w:val="0"/>
              <w:spacing w:line="300" w:lineRule="exact"/>
              <w:jc w:val="center"/>
              <w:rPr>
                <w:rFonts w:hint="default" w:ascii="仿宋" w:hAnsi="仿宋" w:eastAsia="仿宋" w:cs="仿宋"/>
                <w:color w:val="000000"/>
                <w:sz w:val="24"/>
                <w:szCs w:val="24"/>
                <w:lang w:val="en-US" w:eastAsia="zh-CN" w:bidi="zh-CN"/>
              </w:rPr>
            </w:pPr>
            <w:r>
              <w:rPr>
                <w:rFonts w:hint="eastAsia" w:ascii="仿宋" w:hAnsi="仿宋" w:eastAsia="仿宋" w:cs="仿宋"/>
                <w:color w:val="000000"/>
                <w:sz w:val="24"/>
                <w:szCs w:val="24"/>
                <w:lang w:val="en-US" w:eastAsia="zh-CN" w:bidi="zh-CN"/>
              </w:rPr>
              <w:t>10</w:t>
            </w:r>
          </w:p>
        </w:tc>
        <w:tc>
          <w:tcPr>
            <w:tcW w:w="2690" w:type="dxa"/>
            <w:gridSpan w:val="3"/>
            <w:noWrap w:val="0"/>
            <w:vAlign w:val="center"/>
          </w:tcPr>
          <w:p w14:paraId="5B864BE6">
            <w:pPr>
              <w:jc w:val="center"/>
              <w:rPr>
                <w:rFonts w:hint="eastAsia" w:ascii="仿宋" w:hAnsi="仿宋" w:eastAsia="仿宋" w:cs="仿宋"/>
                <w:sz w:val="24"/>
                <w:szCs w:val="24"/>
              </w:rPr>
            </w:pPr>
            <w:r>
              <w:rPr>
                <w:rFonts w:hint="eastAsia" w:ascii="仿宋_GB2312" w:hAnsi="仿宋_GB2312" w:eastAsia="仿宋_GB2312" w:cs="仿宋_GB2312"/>
                <w:szCs w:val="21"/>
              </w:rPr>
              <w:t>甲醛含量</w:t>
            </w:r>
          </w:p>
        </w:tc>
        <w:tc>
          <w:tcPr>
            <w:tcW w:w="2550" w:type="dxa"/>
            <w:noWrap w:val="0"/>
            <w:vAlign w:val="center"/>
          </w:tcPr>
          <w:p w14:paraId="5074C3FC">
            <w:pPr>
              <w:jc w:val="center"/>
              <w:rPr>
                <w:rFonts w:hint="eastAsia" w:ascii="仿宋" w:hAnsi="仿宋" w:eastAsia="仿宋" w:cs="仿宋"/>
                <w:sz w:val="24"/>
                <w:szCs w:val="24"/>
              </w:rPr>
            </w:pPr>
            <w:r>
              <w:rPr>
                <w:rFonts w:hint="eastAsia" w:ascii="仿宋_GB2312" w:hAnsi="仿宋_GB2312" w:eastAsia="仿宋_GB2312" w:cs="仿宋_GB2312"/>
                <w:szCs w:val="21"/>
              </w:rPr>
              <w:t>GB/T 28004.1-2021</w:t>
            </w:r>
          </w:p>
        </w:tc>
        <w:tc>
          <w:tcPr>
            <w:tcW w:w="2512" w:type="dxa"/>
            <w:noWrap w:val="0"/>
            <w:vAlign w:val="center"/>
          </w:tcPr>
          <w:p w14:paraId="3C2B2990">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34448-2017</w:t>
            </w:r>
          </w:p>
        </w:tc>
      </w:tr>
      <w:tr w14:paraId="22785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shd w:val="clear" w:color="auto" w:fill="auto"/>
            <w:noWrap w:val="0"/>
            <w:vAlign w:val="center"/>
          </w:tcPr>
          <w:p w14:paraId="0808BBE2">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2690" w:type="dxa"/>
            <w:gridSpan w:val="3"/>
            <w:noWrap w:val="0"/>
            <w:vAlign w:val="center"/>
          </w:tcPr>
          <w:p w14:paraId="62397D21">
            <w:pPr>
              <w:jc w:val="center"/>
              <w:rPr>
                <w:rFonts w:hint="eastAsia" w:ascii="仿宋" w:hAnsi="仿宋" w:eastAsia="仿宋" w:cs="仿宋"/>
                <w:sz w:val="24"/>
                <w:szCs w:val="24"/>
              </w:rPr>
            </w:pPr>
            <w:r>
              <w:rPr>
                <w:rFonts w:hint="eastAsia" w:ascii="仿宋_GB2312" w:hAnsi="仿宋_GB2312" w:eastAsia="仿宋_GB2312" w:cs="仿宋_GB2312"/>
                <w:szCs w:val="21"/>
              </w:rPr>
              <w:t>可分解致癌芳香胺染料</w:t>
            </w:r>
          </w:p>
        </w:tc>
        <w:tc>
          <w:tcPr>
            <w:tcW w:w="2550" w:type="dxa"/>
            <w:noWrap w:val="0"/>
            <w:vAlign w:val="center"/>
          </w:tcPr>
          <w:p w14:paraId="65520408">
            <w:pPr>
              <w:jc w:val="center"/>
              <w:rPr>
                <w:rFonts w:hint="eastAsia" w:ascii="仿宋" w:hAnsi="仿宋" w:eastAsia="仿宋" w:cs="仿宋"/>
                <w:sz w:val="24"/>
                <w:szCs w:val="24"/>
              </w:rPr>
            </w:pPr>
            <w:r>
              <w:rPr>
                <w:rFonts w:hint="eastAsia" w:ascii="仿宋_GB2312" w:hAnsi="仿宋_GB2312" w:eastAsia="仿宋_GB2312" w:cs="仿宋_GB2312"/>
                <w:szCs w:val="21"/>
              </w:rPr>
              <w:t>GB/T 28004.1-2021</w:t>
            </w:r>
          </w:p>
        </w:tc>
        <w:tc>
          <w:tcPr>
            <w:tcW w:w="2512" w:type="dxa"/>
            <w:noWrap w:val="0"/>
            <w:vAlign w:val="center"/>
          </w:tcPr>
          <w:p w14:paraId="717F6FC7">
            <w:pPr>
              <w:jc w:val="center"/>
              <w:rPr>
                <w:rFonts w:ascii="仿宋_GB2312" w:hAnsi="仿宋_GB2312" w:eastAsia="仿宋_GB2312" w:cs="仿宋_GB2312"/>
                <w:szCs w:val="21"/>
              </w:rPr>
            </w:pPr>
            <w:r>
              <w:rPr>
                <w:rFonts w:hint="eastAsia" w:ascii="仿宋_GB2312" w:hAnsi="仿宋_GB2312" w:eastAsia="仿宋_GB2312" w:cs="仿宋_GB2312"/>
                <w:szCs w:val="21"/>
              </w:rPr>
              <w:t>GB/T 17592-2024</w:t>
            </w:r>
          </w:p>
          <w:p w14:paraId="3EC4F9EA">
            <w:pPr>
              <w:jc w:val="center"/>
              <w:rPr>
                <w:rFonts w:hint="eastAsia" w:ascii="仿宋" w:hAnsi="仿宋" w:eastAsia="仿宋" w:cs="仿宋"/>
                <w:color w:val="000000"/>
                <w:sz w:val="24"/>
                <w:szCs w:val="24"/>
              </w:rPr>
            </w:pPr>
            <w:r>
              <w:rPr>
                <w:rFonts w:hint="eastAsia" w:ascii="仿宋_GB2312" w:hAnsi="仿宋_GB2312" w:eastAsia="仿宋_GB2312" w:cs="仿宋_GB2312"/>
                <w:szCs w:val="21"/>
              </w:rPr>
              <w:t>GB/T 23344-2009</w:t>
            </w:r>
          </w:p>
        </w:tc>
      </w:tr>
    </w:tbl>
    <w:p w14:paraId="322C5AF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38AA1823">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2ADA9E70">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14BBC441">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070E6136">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28004.1-2021《纸尿裤 第1部分：婴儿纸尿裤》</w:t>
      </w:r>
    </w:p>
    <w:p w14:paraId="3D49E618">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037CFCE5">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78A3DB2F">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D9A3B50">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665C900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102D130D">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D5106B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1BDB482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1FEA7D40">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5E3A9532">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19804A5F">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BF64B2A">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203FD453">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949265-DFE0-4862-BBBD-7AD1AC7489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6B85C67A-4BE7-4B71-B16A-B6964C694054}"/>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12C8B074-D756-4D29-AF7C-6EEADDB2E544}"/>
  </w:font>
  <w:font w:name="仿宋">
    <w:panose1 w:val="02010609060101010101"/>
    <w:charset w:val="86"/>
    <w:family w:val="auto"/>
    <w:pitch w:val="default"/>
    <w:sig w:usb0="800002BF" w:usb1="38CF7CFA" w:usb2="00000016" w:usb3="00000000" w:csb0="00040001" w:csb1="00000000"/>
    <w:embedRegular r:id="rId4" w:fontKey="{AEBB2C74-E85E-4E51-A7D3-B724CFBA9172}"/>
  </w:font>
  <w:font w:name="仿宋_GB2312">
    <w:altName w:val="仿宋"/>
    <w:panose1 w:val="02010609030101010101"/>
    <w:charset w:val="86"/>
    <w:family w:val="modern"/>
    <w:pitch w:val="default"/>
    <w:sig w:usb0="00000000" w:usb1="00000000" w:usb2="00000000" w:usb3="00000000" w:csb0="00040000" w:csb1="00000000"/>
    <w:embedRegular r:id="rId5" w:fontKey="{80BAB3DD-AB89-402D-83E8-52221AE248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D4C9B">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32378487">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32378487">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4AE0FFB"/>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0F696E"/>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756176"/>
    <w:rsid w:val="13950723"/>
    <w:rsid w:val="1399374C"/>
    <w:rsid w:val="13C0517C"/>
    <w:rsid w:val="13F57B76"/>
    <w:rsid w:val="14023FCD"/>
    <w:rsid w:val="142F3EDE"/>
    <w:rsid w:val="149E54BE"/>
    <w:rsid w:val="14BD0584"/>
    <w:rsid w:val="14EA24B1"/>
    <w:rsid w:val="156A1844"/>
    <w:rsid w:val="158C3568"/>
    <w:rsid w:val="15DE18EA"/>
    <w:rsid w:val="15E72E94"/>
    <w:rsid w:val="15EC2259"/>
    <w:rsid w:val="163255E0"/>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B43819"/>
    <w:rsid w:val="1BD619E1"/>
    <w:rsid w:val="1BED2887"/>
    <w:rsid w:val="1C874A89"/>
    <w:rsid w:val="1C905219"/>
    <w:rsid w:val="1CCE26B8"/>
    <w:rsid w:val="1CD203FA"/>
    <w:rsid w:val="1CE7377A"/>
    <w:rsid w:val="1D721295"/>
    <w:rsid w:val="1D7F39B2"/>
    <w:rsid w:val="1DA65E17"/>
    <w:rsid w:val="1E29229C"/>
    <w:rsid w:val="1E4470D6"/>
    <w:rsid w:val="1EA17E5C"/>
    <w:rsid w:val="1EB63404"/>
    <w:rsid w:val="1ED815CC"/>
    <w:rsid w:val="1EDE58F5"/>
    <w:rsid w:val="1FC3402A"/>
    <w:rsid w:val="20607ACB"/>
    <w:rsid w:val="20A01B40"/>
    <w:rsid w:val="20A91472"/>
    <w:rsid w:val="20F46465"/>
    <w:rsid w:val="20FB77F4"/>
    <w:rsid w:val="211D776A"/>
    <w:rsid w:val="213D49A2"/>
    <w:rsid w:val="217A4BBD"/>
    <w:rsid w:val="21C347B6"/>
    <w:rsid w:val="21E62252"/>
    <w:rsid w:val="220B7F0B"/>
    <w:rsid w:val="22576CAC"/>
    <w:rsid w:val="228201CD"/>
    <w:rsid w:val="22857CBD"/>
    <w:rsid w:val="22BE4F7D"/>
    <w:rsid w:val="230010F2"/>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0A5122"/>
    <w:rsid w:val="2D53647D"/>
    <w:rsid w:val="2D7626DC"/>
    <w:rsid w:val="2D947006"/>
    <w:rsid w:val="2DB80F46"/>
    <w:rsid w:val="2DCA6ECC"/>
    <w:rsid w:val="2E6B5FB9"/>
    <w:rsid w:val="2EF37D5C"/>
    <w:rsid w:val="2EFA61C6"/>
    <w:rsid w:val="2FA71273"/>
    <w:rsid w:val="2FFC1107"/>
    <w:rsid w:val="3002294D"/>
    <w:rsid w:val="30112B90"/>
    <w:rsid w:val="30C80BB8"/>
    <w:rsid w:val="30F06C49"/>
    <w:rsid w:val="32AE0B6A"/>
    <w:rsid w:val="32FA5B5D"/>
    <w:rsid w:val="33386686"/>
    <w:rsid w:val="3379117D"/>
    <w:rsid w:val="33E81E5A"/>
    <w:rsid w:val="34585069"/>
    <w:rsid w:val="34873EF6"/>
    <w:rsid w:val="349A13A6"/>
    <w:rsid w:val="34BD32E6"/>
    <w:rsid w:val="35727C2D"/>
    <w:rsid w:val="3575771D"/>
    <w:rsid w:val="35870802"/>
    <w:rsid w:val="35FE3505"/>
    <w:rsid w:val="36146F36"/>
    <w:rsid w:val="36443B1B"/>
    <w:rsid w:val="36563EA7"/>
    <w:rsid w:val="368E6467"/>
    <w:rsid w:val="369D6F2B"/>
    <w:rsid w:val="36A24542"/>
    <w:rsid w:val="37133692"/>
    <w:rsid w:val="37521F82"/>
    <w:rsid w:val="37DA41AF"/>
    <w:rsid w:val="37F95C4C"/>
    <w:rsid w:val="37FE1C4C"/>
    <w:rsid w:val="38001B99"/>
    <w:rsid w:val="383B4C4E"/>
    <w:rsid w:val="384B29B7"/>
    <w:rsid w:val="38740160"/>
    <w:rsid w:val="3875570F"/>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60328F"/>
    <w:rsid w:val="3C746980"/>
    <w:rsid w:val="3CBD0327"/>
    <w:rsid w:val="3D5347E8"/>
    <w:rsid w:val="3D803103"/>
    <w:rsid w:val="3DCE38C6"/>
    <w:rsid w:val="3E691DE9"/>
    <w:rsid w:val="3EE85DDF"/>
    <w:rsid w:val="3F0B2EA0"/>
    <w:rsid w:val="3F744EE9"/>
    <w:rsid w:val="3F7DE560"/>
    <w:rsid w:val="401F6C03"/>
    <w:rsid w:val="40464190"/>
    <w:rsid w:val="40534AFF"/>
    <w:rsid w:val="409018AF"/>
    <w:rsid w:val="412C7553"/>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8D5680"/>
    <w:rsid w:val="4E8F2333"/>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8F610E2"/>
    <w:rsid w:val="59284923"/>
    <w:rsid w:val="59CF1242"/>
    <w:rsid w:val="5A2C0443"/>
    <w:rsid w:val="5A8B33BB"/>
    <w:rsid w:val="5B6634E0"/>
    <w:rsid w:val="5B863B83"/>
    <w:rsid w:val="5B8A5421"/>
    <w:rsid w:val="5BAA161F"/>
    <w:rsid w:val="5BBE1D5E"/>
    <w:rsid w:val="5BEC1C38"/>
    <w:rsid w:val="5BF94355"/>
    <w:rsid w:val="5C1C7225"/>
    <w:rsid w:val="5C244968"/>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45D60"/>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1C468E1"/>
    <w:rsid w:val="71DD6444"/>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C8B6DF3"/>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1"/>
    <w:qFormat/>
    <w:uiPriority w:val="1"/>
    <w:rPr>
      <w:sz w:val="21"/>
      <w:szCs w:val="21"/>
    </w:rPr>
  </w:style>
  <w:style w:type="paragraph" w:styleId="7">
    <w:name w:val="Body Text Indent"/>
    <w:basedOn w:val="1"/>
    <w:qFormat/>
    <w:uiPriority w:val="0"/>
    <w:pPr>
      <w:spacing w:after="120"/>
      <w:ind w:left="420" w:leftChars="200"/>
    </w:pPr>
  </w:style>
  <w:style w:type="paragraph" w:styleId="8">
    <w:name w:val="Balloon Text"/>
    <w:basedOn w:val="1"/>
    <w:link w:val="18"/>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unhideWhenUsed/>
    <w:qFormat/>
    <w:uiPriority w:val="99"/>
    <w:pPr>
      <w:ind w:firstLine="420" w:firstLineChars="200"/>
    </w:pPr>
    <w:rPr>
      <w:rFonts w:ascii="Times New Roman" w:hAnsi="Times New Roman"/>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unhideWhenUsed/>
    <w:qFormat/>
    <w:uiPriority w:val="2"/>
    <w:tblPr>
      <w:tblCellMar>
        <w:top w:w="0" w:type="dxa"/>
        <w:left w:w="0" w:type="dxa"/>
        <w:bottom w:w="0" w:type="dxa"/>
        <w:right w:w="0" w:type="dxa"/>
      </w:tblCellMar>
    </w:tblPr>
  </w:style>
  <w:style w:type="paragraph" w:customStyle="1" w:styleId="16">
    <w:name w:val="列出段落1"/>
    <w:basedOn w:val="1"/>
    <w:qFormat/>
    <w:uiPriority w:val="1"/>
    <w:pPr>
      <w:ind w:left="227" w:firstLine="420"/>
    </w:pPr>
  </w:style>
  <w:style w:type="paragraph" w:customStyle="1" w:styleId="17">
    <w:name w:val="Table Paragraph"/>
    <w:basedOn w:val="1"/>
    <w:qFormat/>
    <w:uiPriority w:val="1"/>
  </w:style>
  <w:style w:type="character" w:customStyle="1" w:styleId="18">
    <w:name w:val="批注框文本 字符"/>
    <w:basedOn w:val="14"/>
    <w:link w:val="8"/>
    <w:semiHidden/>
    <w:qFormat/>
    <w:uiPriority w:val="99"/>
    <w:rPr>
      <w:rFonts w:ascii="宋体" w:hAnsi="宋体" w:eastAsia="宋体" w:cs="宋体"/>
      <w:sz w:val="18"/>
      <w:szCs w:val="18"/>
      <w:lang w:val="zh-CN" w:eastAsia="zh-CN" w:bidi="zh-CN"/>
    </w:rPr>
  </w:style>
  <w:style w:type="character" w:customStyle="1" w:styleId="19">
    <w:name w:val="页眉 字符"/>
    <w:basedOn w:val="14"/>
    <w:link w:val="10"/>
    <w:qFormat/>
    <w:uiPriority w:val="99"/>
    <w:rPr>
      <w:rFonts w:ascii="宋体" w:hAnsi="宋体" w:eastAsia="宋体" w:cs="宋体"/>
      <w:sz w:val="18"/>
      <w:szCs w:val="18"/>
      <w:lang w:val="zh-CN" w:eastAsia="zh-CN" w:bidi="zh-CN"/>
    </w:rPr>
  </w:style>
  <w:style w:type="character" w:customStyle="1" w:styleId="20">
    <w:name w:val="页脚 字符"/>
    <w:basedOn w:val="14"/>
    <w:link w:val="9"/>
    <w:qFormat/>
    <w:uiPriority w:val="99"/>
    <w:rPr>
      <w:rFonts w:ascii="宋体" w:hAnsi="宋体" w:eastAsia="宋体" w:cs="宋体"/>
      <w:sz w:val="18"/>
      <w:szCs w:val="18"/>
      <w:lang w:val="zh-CN" w:eastAsia="zh-CN" w:bidi="zh-CN"/>
    </w:rPr>
  </w:style>
  <w:style w:type="character" w:customStyle="1" w:styleId="21">
    <w:name w:val="正文文本 字符"/>
    <w:basedOn w:val="14"/>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1171</Words>
  <Characters>1520</Characters>
  <Lines>10</Lines>
  <Paragraphs>2</Paragraphs>
  <TotalTime>0</TotalTime>
  <ScaleCrop>false</ScaleCrop>
  <LinksUpToDate>false</LinksUpToDate>
  <CharactersWithSpaces>1549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2026-03-13T05:58:35Z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