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6013AD">
      <w:pPr>
        <w:autoSpaceDE/>
        <w:autoSpaceDN/>
        <w:snapToGrid w:val="0"/>
        <w:spacing w:line="580" w:lineRule="exact"/>
        <w:jc w:val="center"/>
        <w:rPr>
          <w:rFonts w:hint="eastAsia" w:ascii="方正小标宋_GBK" w:hAnsi="华文仿宋" w:eastAsia="方正小标宋_GBK" w:cs="华文仿宋"/>
          <w:bCs/>
          <w:color w:val="000000"/>
          <w:kern w:val="2"/>
          <w:sz w:val="44"/>
          <w:szCs w:val="44"/>
          <w:lang w:val="en-US" w:bidi="ar-SA"/>
        </w:rPr>
      </w:pPr>
      <w:r>
        <w:rPr>
          <w:rFonts w:hint="eastAsia" w:ascii="方正小标宋_GBK" w:hAnsi="华文仿宋" w:eastAsia="方正小标宋_GBK" w:cs="华文仿宋"/>
          <w:bCs/>
          <w:color w:val="000000"/>
          <w:kern w:val="2"/>
          <w:sz w:val="44"/>
          <w:szCs w:val="44"/>
          <w:lang w:val="en-US" w:eastAsia="zh-CN" w:bidi="ar-SA"/>
        </w:rPr>
        <w:t>2026年</w:t>
      </w:r>
      <w:r>
        <w:rPr>
          <w:rFonts w:hint="eastAsia" w:ascii="方正小标宋_GBK" w:hAnsi="华文仿宋" w:eastAsia="方正小标宋_GBK" w:cs="华文仿宋"/>
          <w:bCs/>
          <w:color w:val="000000"/>
          <w:kern w:val="2"/>
          <w:sz w:val="44"/>
          <w:szCs w:val="44"/>
          <w:lang w:val="en-US" w:bidi="ar-SA"/>
        </w:rPr>
        <w:t>昆山市</w:t>
      </w:r>
      <w:r>
        <w:rPr>
          <w:rFonts w:hint="eastAsia" w:ascii="方正小标宋_GBK" w:hAnsi="华文仿宋" w:eastAsia="方正小标宋_GBK" w:cs="华文仿宋"/>
          <w:bCs/>
          <w:color w:val="000000"/>
          <w:kern w:val="2"/>
          <w:sz w:val="44"/>
          <w:szCs w:val="44"/>
          <w:lang w:val="en-US" w:eastAsia="zh-CN" w:bidi="ar-SA"/>
        </w:rPr>
        <w:t>卫生巾（含卫生护垫）</w:t>
      </w:r>
      <w:r>
        <w:rPr>
          <w:rFonts w:hint="eastAsia" w:ascii="方正小标宋_GBK" w:hAnsi="华文仿宋" w:eastAsia="方正小标宋_GBK" w:cs="华文仿宋"/>
          <w:bCs/>
          <w:color w:val="000000"/>
          <w:kern w:val="2"/>
          <w:sz w:val="44"/>
          <w:szCs w:val="44"/>
          <w:lang w:val="en-US" w:bidi="ar-SA"/>
        </w:rPr>
        <w:t>产品质量监督抽查实施细则</w:t>
      </w:r>
    </w:p>
    <w:p w14:paraId="16305007">
      <w:pPr>
        <w:autoSpaceDE/>
        <w:autoSpaceDN/>
        <w:snapToGrid w:val="0"/>
        <w:spacing w:line="580" w:lineRule="exact"/>
        <w:jc w:val="center"/>
        <w:rPr>
          <w:rFonts w:hint="eastAsia" w:ascii="方正小标宋_GBK" w:hAnsi="华文仿宋" w:eastAsia="方正小标宋_GBK" w:cs="华文仿宋"/>
          <w:bCs/>
          <w:kern w:val="2"/>
          <w:sz w:val="32"/>
          <w:szCs w:val="32"/>
          <w:lang w:val="en-US" w:bidi="ar-SA"/>
        </w:rPr>
      </w:pPr>
    </w:p>
    <w:p w14:paraId="40B2B0F8">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1.范围</w:t>
      </w:r>
    </w:p>
    <w:p w14:paraId="64C30F42">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本细则适用于</w:t>
      </w:r>
      <w:r>
        <w:rPr>
          <w:rFonts w:hint="eastAsia" w:ascii="仿宋" w:hAnsi="仿宋" w:eastAsia="仿宋" w:cs="仿宋"/>
          <w:kern w:val="2"/>
          <w:sz w:val="32"/>
          <w:szCs w:val="32"/>
          <w:lang w:val="en-US" w:eastAsia="zh-CN" w:bidi="ar-SA"/>
        </w:rPr>
        <w:t>昆山市</w:t>
      </w:r>
      <w:r>
        <w:rPr>
          <w:rFonts w:hint="eastAsia" w:ascii="仿宋" w:hAnsi="仿宋" w:eastAsia="仿宋" w:cs="仿宋"/>
          <w:kern w:val="2"/>
          <w:sz w:val="32"/>
          <w:szCs w:val="32"/>
          <w:lang w:val="en-US" w:bidi="ar-SA"/>
        </w:rPr>
        <w:t>市场监督管理局组织的</w:t>
      </w:r>
      <w:r>
        <w:rPr>
          <w:rFonts w:hint="eastAsia" w:ascii="仿宋" w:hAnsi="仿宋" w:eastAsia="仿宋" w:cs="仿宋"/>
          <w:kern w:val="2"/>
          <w:sz w:val="32"/>
          <w:szCs w:val="32"/>
          <w:lang w:val="en-US" w:eastAsia="zh-CN" w:bidi="ar-SA"/>
        </w:rPr>
        <w:t>卫生巾（含卫生护垫）</w:t>
      </w:r>
      <w:r>
        <w:rPr>
          <w:rFonts w:hint="eastAsia" w:ascii="仿宋" w:hAnsi="仿宋" w:eastAsia="仿宋" w:cs="仿宋"/>
          <w:kern w:val="2"/>
          <w:sz w:val="32"/>
          <w:szCs w:val="32"/>
          <w:lang w:val="en-US" w:bidi="ar-SA"/>
        </w:rPr>
        <w:t>产品质量监督抽查</w:t>
      </w:r>
      <w:r>
        <w:rPr>
          <w:rFonts w:hint="eastAsia" w:ascii="仿宋" w:hAnsi="仿宋" w:eastAsia="仿宋" w:cs="仿宋"/>
          <w:kern w:val="2"/>
          <w:sz w:val="32"/>
          <w:szCs w:val="32"/>
          <w:lang w:val="en-US" w:eastAsia="zh-CN" w:bidi="ar-SA"/>
        </w:rPr>
        <w:t>检验</w:t>
      </w:r>
      <w:r>
        <w:rPr>
          <w:rFonts w:hint="eastAsia" w:ascii="仿宋" w:hAnsi="仿宋" w:eastAsia="仿宋" w:cs="仿宋"/>
          <w:kern w:val="2"/>
          <w:sz w:val="32"/>
          <w:szCs w:val="32"/>
          <w:lang w:val="en-US" w:bidi="ar-SA"/>
        </w:rPr>
        <w:t>。本细则规定了此产品的抽样方法、检验依据、检验项目、检验方法、判定原则、异议处理及复检。</w:t>
      </w:r>
    </w:p>
    <w:p w14:paraId="4773068E">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2.抽样方法</w:t>
      </w:r>
    </w:p>
    <w:p w14:paraId="53F8AD4F">
      <w:pPr>
        <w:autoSpaceDE/>
        <w:autoSpaceDN/>
        <w:spacing w:line="580" w:lineRule="exact"/>
        <w:ind w:firstLine="643"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1生产企业、实体店抽样</w:t>
      </w:r>
    </w:p>
    <w:p w14:paraId="431923B0">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在受检企业的成品仓库或者其确认场所，随机抽取有产品质量检验合格证明或者其他形式表明合格的待销产品</w:t>
      </w:r>
      <w:r>
        <w:rPr>
          <w:rFonts w:hint="eastAsia" w:ascii="仿宋" w:hAnsi="仿宋" w:eastAsia="仿宋" w:cs="仿宋"/>
          <w:kern w:val="2"/>
          <w:sz w:val="32"/>
          <w:szCs w:val="32"/>
          <w:lang w:val="en-US" w:eastAsia="zh-CN" w:bidi="ar-SA"/>
        </w:rPr>
        <w:t>，抽样基数应满足抽样要求</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抽样过程均需拍照留证。一经抽样，立即封样，任何人不得调换。</w:t>
      </w:r>
    </w:p>
    <w:p w14:paraId="1F1E1548">
      <w:pPr>
        <w:autoSpaceDE/>
        <w:autoSpaceDN/>
        <w:spacing w:line="580" w:lineRule="exact"/>
        <w:ind w:firstLine="643" w:firstLineChars="200"/>
        <w:jc w:val="both"/>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2电商平台采样</w:t>
      </w:r>
    </w:p>
    <w:p w14:paraId="7DE6A88F">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抽样数量为1</w:t>
      </w:r>
      <w:r>
        <w:rPr>
          <w:rFonts w:hint="eastAsia" w:ascii="仿宋" w:hAnsi="仿宋" w:eastAsia="仿宋" w:cs="仿宋"/>
          <w:kern w:val="2"/>
          <w:sz w:val="32"/>
          <w:szCs w:val="32"/>
          <w:lang w:val="en-US" w:eastAsia="zh-CN" w:bidi="ar-SA"/>
        </w:rPr>
        <w:t>5</w:t>
      </w:r>
      <w:r>
        <w:rPr>
          <w:rFonts w:hint="eastAsia" w:ascii="仿宋" w:hAnsi="仿宋" w:eastAsia="仿宋" w:cs="仿宋"/>
          <w:kern w:val="2"/>
          <w:sz w:val="32"/>
          <w:szCs w:val="32"/>
          <w:lang w:val="en-US" w:bidi="ar-SA"/>
        </w:rPr>
        <w:t>包（最小销售包装），其中</w:t>
      </w:r>
      <w:r>
        <w:rPr>
          <w:rFonts w:hint="eastAsia" w:ascii="仿宋" w:hAnsi="仿宋" w:eastAsia="仿宋" w:cs="仿宋"/>
          <w:kern w:val="2"/>
          <w:sz w:val="32"/>
          <w:szCs w:val="32"/>
          <w:lang w:val="en-US" w:eastAsia="zh-CN" w:bidi="ar-SA"/>
        </w:rPr>
        <w:t>12</w:t>
      </w:r>
      <w:r>
        <w:rPr>
          <w:rFonts w:hint="eastAsia" w:ascii="仿宋" w:hAnsi="仿宋" w:eastAsia="仿宋" w:cs="仿宋"/>
          <w:kern w:val="2"/>
          <w:sz w:val="32"/>
          <w:szCs w:val="32"/>
          <w:lang w:val="en-US" w:bidi="ar-SA"/>
        </w:rPr>
        <w:t>包</w:t>
      </w:r>
      <w:r>
        <w:rPr>
          <w:rFonts w:hint="eastAsia" w:ascii="仿宋" w:hAnsi="仿宋" w:eastAsia="仿宋" w:cs="仿宋"/>
          <w:kern w:val="2"/>
          <w:sz w:val="32"/>
          <w:szCs w:val="32"/>
          <w:lang w:val="en-US" w:eastAsia="zh-CN" w:bidi="ar-SA"/>
        </w:rPr>
        <w:t>作为检验样品</w:t>
      </w:r>
      <w:r>
        <w:rPr>
          <w:rFonts w:hint="eastAsia" w:ascii="仿宋" w:hAnsi="仿宋" w:eastAsia="仿宋" w:cs="仿宋"/>
          <w:kern w:val="2"/>
          <w:sz w:val="32"/>
          <w:szCs w:val="32"/>
          <w:lang w:val="en-US" w:bidi="ar-SA"/>
        </w:rPr>
        <w:t>，3包</w:t>
      </w:r>
      <w:r>
        <w:rPr>
          <w:rFonts w:hint="eastAsia" w:ascii="仿宋" w:hAnsi="仿宋" w:eastAsia="仿宋" w:cs="仿宋"/>
          <w:kern w:val="2"/>
          <w:sz w:val="32"/>
          <w:szCs w:val="32"/>
          <w:lang w:val="en-US" w:eastAsia="zh-CN" w:bidi="ar-SA"/>
        </w:rPr>
        <w:t>作为备用样品。</w:t>
      </w:r>
      <w:r>
        <w:rPr>
          <w:rFonts w:hint="eastAsia" w:ascii="仿宋" w:hAnsi="仿宋" w:eastAsia="仿宋" w:cs="仿宋"/>
          <w:kern w:val="2"/>
          <w:sz w:val="32"/>
          <w:szCs w:val="32"/>
          <w:lang w:val="en-US" w:bidi="ar-SA"/>
        </w:rPr>
        <w:t>如果最小销售包装内装量不足10片，需增加抽取的最小销售包装数量，使样品片数不少于以上包装按10片计的片数</w:t>
      </w:r>
      <w:r>
        <w:rPr>
          <w:rFonts w:hint="eastAsia" w:ascii="仿宋" w:hAnsi="仿宋" w:eastAsia="仿宋" w:cs="仿宋"/>
          <w:kern w:val="2"/>
          <w:sz w:val="32"/>
          <w:szCs w:val="32"/>
          <w:lang w:val="en-US" w:eastAsia="zh-CN" w:bidi="ar-SA"/>
        </w:rPr>
        <w:t>。</w:t>
      </w:r>
    </w:p>
    <w:p w14:paraId="73B116FA">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3.检验依据</w:t>
      </w:r>
    </w:p>
    <w:p w14:paraId="08083E61">
      <w:pPr>
        <w:autoSpaceDE/>
        <w:autoSpaceDN/>
        <w:spacing w:line="580" w:lineRule="exact"/>
        <w:ind w:firstLine="560" w:firstLineChars="200"/>
        <w:jc w:val="center"/>
        <w:rPr>
          <w:rFonts w:hint="eastAsia" w:ascii="仿宋" w:hAnsi="仿宋" w:eastAsia="仿宋" w:cs="仿宋"/>
          <w:kern w:val="2"/>
          <w:sz w:val="28"/>
          <w:szCs w:val="28"/>
          <w:lang w:val="en-US" w:bidi="ar-SA"/>
        </w:rPr>
      </w:pPr>
      <w:r>
        <w:rPr>
          <w:rFonts w:hint="eastAsia" w:ascii="仿宋" w:hAnsi="仿宋" w:eastAsia="仿宋" w:cs="仿宋"/>
          <w:kern w:val="2"/>
          <w:sz w:val="28"/>
          <w:szCs w:val="28"/>
          <w:lang w:val="en-US" w:eastAsia="zh-CN" w:bidi="ar-SA"/>
        </w:rPr>
        <w:t>表1 卫生巾（含卫生护垫）产品</w:t>
      </w:r>
      <w:r>
        <w:rPr>
          <w:rFonts w:hint="eastAsia" w:ascii="仿宋" w:hAnsi="仿宋" w:eastAsia="仿宋" w:cs="仿宋"/>
          <w:kern w:val="2"/>
          <w:sz w:val="28"/>
          <w:szCs w:val="28"/>
          <w:lang w:val="en-US" w:bidi="ar-SA"/>
        </w:rPr>
        <w:t>检验项目</w:t>
      </w:r>
    </w:p>
    <w:tbl>
      <w:tblPr>
        <w:tblStyle w:val="10"/>
        <w:tblW w:w="85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8"/>
        <w:gridCol w:w="2668"/>
        <w:gridCol w:w="2647"/>
        <w:gridCol w:w="2437"/>
      </w:tblGrid>
      <w:tr w14:paraId="365DA6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7694B4A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2668" w:type="dxa"/>
            <w:noWrap w:val="0"/>
            <w:vAlign w:val="center"/>
          </w:tcPr>
          <w:p w14:paraId="4051D611">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2647" w:type="dxa"/>
            <w:noWrap w:val="0"/>
            <w:vAlign w:val="center"/>
          </w:tcPr>
          <w:p w14:paraId="5D695D25">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判定依据</w:t>
            </w:r>
          </w:p>
        </w:tc>
        <w:tc>
          <w:tcPr>
            <w:tcW w:w="2437" w:type="dxa"/>
            <w:noWrap w:val="0"/>
            <w:vAlign w:val="center"/>
          </w:tcPr>
          <w:p w14:paraId="73A5CCC8">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检验方法</w:t>
            </w:r>
          </w:p>
        </w:tc>
      </w:tr>
      <w:tr w14:paraId="65649B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59543FC8">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2668" w:type="dxa"/>
            <w:noWrap w:val="0"/>
            <w:vAlign w:val="center"/>
          </w:tcPr>
          <w:p w14:paraId="78A0499E">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细菌菌落总数</w:t>
            </w:r>
          </w:p>
        </w:tc>
        <w:tc>
          <w:tcPr>
            <w:tcW w:w="2647" w:type="dxa"/>
            <w:noWrap w:val="0"/>
            <w:vAlign w:val="center"/>
          </w:tcPr>
          <w:p w14:paraId="55762870">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c>
          <w:tcPr>
            <w:tcW w:w="2437" w:type="dxa"/>
            <w:noWrap w:val="0"/>
            <w:vAlign w:val="center"/>
          </w:tcPr>
          <w:p w14:paraId="4305D727">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r>
      <w:tr w14:paraId="60A0B6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44C2710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2668" w:type="dxa"/>
            <w:noWrap w:val="0"/>
            <w:vAlign w:val="center"/>
          </w:tcPr>
          <w:p w14:paraId="4954C64B">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大肠菌群</w:t>
            </w:r>
          </w:p>
        </w:tc>
        <w:tc>
          <w:tcPr>
            <w:tcW w:w="2647" w:type="dxa"/>
            <w:noWrap w:val="0"/>
            <w:vAlign w:val="center"/>
          </w:tcPr>
          <w:p w14:paraId="0EB100AB">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c>
          <w:tcPr>
            <w:tcW w:w="2437" w:type="dxa"/>
            <w:noWrap w:val="0"/>
            <w:vAlign w:val="center"/>
          </w:tcPr>
          <w:p w14:paraId="58FD748F">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r>
      <w:tr w14:paraId="6354A3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4F82F0C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2668" w:type="dxa"/>
            <w:noWrap w:val="0"/>
            <w:vAlign w:val="center"/>
          </w:tcPr>
          <w:p w14:paraId="16690E52">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真菌菌落总数</w:t>
            </w:r>
          </w:p>
        </w:tc>
        <w:tc>
          <w:tcPr>
            <w:tcW w:w="2647" w:type="dxa"/>
            <w:noWrap w:val="0"/>
            <w:vAlign w:val="center"/>
          </w:tcPr>
          <w:p w14:paraId="29D1227F">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c>
          <w:tcPr>
            <w:tcW w:w="2437" w:type="dxa"/>
            <w:noWrap w:val="0"/>
            <w:vAlign w:val="center"/>
          </w:tcPr>
          <w:p w14:paraId="0841E823">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r>
      <w:tr w14:paraId="349276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056276B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2668" w:type="dxa"/>
            <w:noWrap w:val="0"/>
            <w:vAlign w:val="center"/>
          </w:tcPr>
          <w:p w14:paraId="52639DA7">
            <w:pPr>
              <w:snapToGrid w:val="0"/>
              <w:jc w:val="center"/>
              <w:rPr>
                <w:rFonts w:hint="eastAsia" w:ascii="仿宋" w:hAnsi="仿宋" w:eastAsia="仿宋" w:cs="仿宋"/>
                <w:color w:val="000000"/>
                <w:sz w:val="24"/>
                <w:szCs w:val="24"/>
                <w:lang w:eastAsia="en-US"/>
              </w:rPr>
            </w:pPr>
            <w:r>
              <w:rPr>
                <w:rFonts w:hint="eastAsia" w:ascii="仿宋" w:hAnsi="仿宋" w:eastAsia="仿宋" w:cs="仿宋"/>
                <w:sz w:val="24"/>
                <w:szCs w:val="24"/>
              </w:rPr>
              <w:t>铜绿假单胞菌</w:t>
            </w:r>
          </w:p>
        </w:tc>
        <w:tc>
          <w:tcPr>
            <w:tcW w:w="2647" w:type="dxa"/>
            <w:noWrap w:val="0"/>
            <w:vAlign w:val="center"/>
          </w:tcPr>
          <w:p w14:paraId="01401D1F">
            <w:pPr>
              <w:snapToGrid w:val="0"/>
              <w:jc w:val="center"/>
              <w:rPr>
                <w:rFonts w:hint="eastAsia" w:ascii="仿宋" w:hAnsi="仿宋" w:eastAsia="仿宋" w:cs="仿宋"/>
                <w:color w:val="000000"/>
                <w:sz w:val="24"/>
                <w:szCs w:val="24"/>
                <w:lang w:eastAsia="en-US"/>
              </w:rPr>
            </w:pPr>
            <w:r>
              <w:rPr>
                <w:rFonts w:hint="eastAsia" w:ascii="仿宋" w:hAnsi="仿宋" w:eastAsia="仿宋" w:cs="仿宋"/>
                <w:sz w:val="24"/>
                <w:szCs w:val="24"/>
              </w:rPr>
              <w:t>GB 15979-2024</w:t>
            </w:r>
          </w:p>
        </w:tc>
        <w:tc>
          <w:tcPr>
            <w:tcW w:w="2437" w:type="dxa"/>
            <w:noWrap w:val="0"/>
            <w:vAlign w:val="center"/>
          </w:tcPr>
          <w:p w14:paraId="11004A93">
            <w:pPr>
              <w:snapToGrid w:val="0"/>
              <w:jc w:val="center"/>
              <w:rPr>
                <w:rFonts w:hint="eastAsia" w:ascii="仿宋" w:hAnsi="仿宋" w:eastAsia="仿宋" w:cs="仿宋"/>
                <w:color w:val="000000"/>
                <w:sz w:val="24"/>
                <w:szCs w:val="24"/>
                <w:lang w:eastAsia="en-US"/>
              </w:rPr>
            </w:pPr>
            <w:r>
              <w:rPr>
                <w:rFonts w:hint="eastAsia" w:ascii="仿宋" w:hAnsi="仿宋" w:eastAsia="仿宋" w:cs="仿宋"/>
                <w:sz w:val="24"/>
                <w:szCs w:val="24"/>
              </w:rPr>
              <w:t>GB 15979-2024</w:t>
            </w:r>
          </w:p>
        </w:tc>
      </w:tr>
      <w:tr w14:paraId="57EE8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3C3DE8E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2668" w:type="dxa"/>
            <w:noWrap w:val="0"/>
            <w:vAlign w:val="center"/>
          </w:tcPr>
          <w:p w14:paraId="47E31D87">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金黄色葡萄球菌</w:t>
            </w:r>
          </w:p>
        </w:tc>
        <w:tc>
          <w:tcPr>
            <w:tcW w:w="2647" w:type="dxa"/>
            <w:noWrap w:val="0"/>
            <w:vAlign w:val="center"/>
          </w:tcPr>
          <w:p w14:paraId="673FD1E0">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c>
          <w:tcPr>
            <w:tcW w:w="2437" w:type="dxa"/>
            <w:noWrap w:val="0"/>
            <w:vAlign w:val="center"/>
          </w:tcPr>
          <w:p w14:paraId="5BBA971C">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r>
      <w:tr w14:paraId="6CB089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4AC5D79B">
            <w:pPr>
              <w:snapToGrid w:val="0"/>
              <w:spacing w:line="30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2668" w:type="dxa"/>
            <w:noWrap w:val="0"/>
            <w:vAlign w:val="center"/>
          </w:tcPr>
          <w:p w14:paraId="1B7A0EE4">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溶血性链球菌</w:t>
            </w:r>
          </w:p>
        </w:tc>
        <w:tc>
          <w:tcPr>
            <w:tcW w:w="2647" w:type="dxa"/>
            <w:noWrap w:val="0"/>
            <w:vAlign w:val="center"/>
          </w:tcPr>
          <w:p w14:paraId="52F88A7D">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c>
          <w:tcPr>
            <w:tcW w:w="2437" w:type="dxa"/>
            <w:noWrap w:val="0"/>
            <w:vAlign w:val="center"/>
          </w:tcPr>
          <w:p w14:paraId="5CA7688B">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r>
      <w:tr w14:paraId="52FF18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33C41D52">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w:t>
            </w:r>
          </w:p>
        </w:tc>
        <w:tc>
          <w:tcPr>
            <w:tcW w:w="2668" w:type="dxa"/>
            <w:noWrap w:val="0"/>
            <w:vAlign w:val="center"/>
          </w:tcPr>
          <w:p w14:paraId="0D778569">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pH</w:t>
            </w:r>
          </w:p>
        </w:tc>
        <w:tc>
          <w:tcPr>
            <w:tcW w:w="2647" w:type="dxa"/>
            <w:noWrap w:val="0"/>
            <w:vAlign w:val="center"/>
          </w:tcPr>
          <w:p w14:paraId="552EEF76">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8939-2018</w:t>
            </w:r>
          </w:p>
        </w:tc>
        <w:tc>
          <w:tcPr>
            <w:tcW w:w="2437" w:type="dxa"/>
            <w:noWrap w:val="0"/>
            <w:vAlign w:val="center"/>
          </w:tcPr>
          <w:p w14:paraId="2DD91003">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8939-2018</w:t>
            </w:r>
          </w:p>
        </w:tc>
      </w:tr>
      <w:tr w14:paraId="2B8DA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44D6F099">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w:t>
            </w:r>
          </w:p>
        </w:tc>
        <w:tc>
          <w:tcPr>
            <w:tcW w:w="2668" w:type="dxa"/>
            <w:noWrap w:val="0"/>
            <w:vAlign w:val="center"/>
          </w:tcPr>
          <w:p w14:paraId="47F8F530">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吸水倍率</w:t>
            </w:r>
          </w:p>
        </w:tc>
        <w:tc>
          <w:tcPr>
            <w:tcW w:w="2647" w:type="dxa"/>
            <w:noWrap w:val="0"/>
            <w:vAlign w:val="center"/>
          </w:tcPr>
          <w:p w14:paraId="79E57F6E">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8939-2018</w:t>
            </w:r>
          </w:p>
        </w:tc>
        <w:tc>
          <w:tcPr>
            <w:tcW w:w="2437" w:type="dxa"/>
            <w:noWrap w:val="0"/>
            <w:vAlign w:val="center"/>
          </w:tcPr>
          <w:p w14:paraId="5EE7917D">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8939-2018</w:t>
            </w:r>
          </w:p>
        </w:tc>
      </w:tr>
      <w:tr w14:paraId="3F24C3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731BD79C">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9</w:t>
            </w:r>
          </w:p>
        </w:tc>
        <w:tc>
          <w:tcPr>
            <w:tcW w:w="2668" w:type="dxa"/>
            <w:noWrap w:val="0"/>
            <w:vAlign w:val="center"/>
          </w:tcPr>
          <w:p w14:paraId="62326E77">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吸收速度</w:t>
            </w:r>
          </w:p>
        </w:tc>
        <w:tc>
          <w:tcPr>
            <w:tcW w:w="2647" w:type="dxa"/>
            <w:noWrap w:val="0"/>
            <w:vAlign w:val="center"/>
          </w:tcPr>
          <w:p w14:paraId="6F2433F8">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8939-2018</w:t>
            </w:r>
          </w:p>
        </w:tc>
        <w:tc>
          <w:tcPr>
            <w:tcW w:w="2437" w:type="dxa"/>
            <w:noWrap w:val="0"/>
            <w:vAlign w:val="center"/>
          </w:tcPr>
          <w:p w14:paraId="5881C573">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8939-2018</w:t>
            </w:r>
          </w:p>
        </w:tc>
      </w:tr>
      <w:tr w14:paraId="557834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15AE0311">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c>
          <w:tcPr>
            <w:tcW w:w="2668" w:type="dxa"/>
            <w:noWrap w:val="0"/>
            <w:vAlign w:val="center"/>
          </w:tcPr>
          <w:p w14:paraId="5CEE0422">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甲醛含量</w:t>
            </w:r>
          </w:p>
        </w:tc>
        <w:tc>
          <w:tcPr>
            <w:tcW w:w="2647" w:type="dxa"/>
            <w:noWrap w:val="0"/>
            <w:vAlign w:val="center"/>
          </w:tcPr>
          <w:p w14:paraId="3BC2CA23">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8939-2018</w:t>
            </w:r>
          </w:p>
        </w:tc>
        <w:tc>
          <w:tcPr>
            <w:tcW w:w="2437" w:type="dxa"/>
            <w:noWrap w:val="0"/>
            <w:vAlign w:val="center"/>
          </w:tcPr>
          <w:p w14:paraId="54C56D91">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34448-2017</w:t>
            </w:r>
          </w:p>
        </w:tc>
      </w:tr>
      <w:tr w14:paraId="1DEC34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01B39C19">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11</w:t>
            </w:r>
          </w:p>
        </w:tc>
        <w:tc>
          <w:tcPr>
            <w:tcW w:w="2668" w:type="dxa"/>
            <w:noWrap w:val="0"/>
            <w:vAlign w:val="center"/>
          </w:tcPr>
          <w:p w14:paraId="7D882E56">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可迁移性荧光物质</w:t>
            </w:r>
          </w:p>
        </w:tc>
        <w:tc>
          <w:tcPr>
            <w:tcW w:w="2647" w:type="dxa"/>
            <w:noWrap w:val="0"/>
            <w:vAlign w:val="center"/>
          </w:tcPr>
          <w:p w14:paraId="133C3BF2">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8939-2018</w:t>
            </w:r>
          </w:p>
        </w:tc>
        <w:tc>
          <w:tcPr>
            <w:tcW w:w="2437" w:type="dxa"/>
            <w:noWrap w:val="0"/>
            <w:vAlign w:val="center"/>
          </w:tcPr>
          <w:p w14:paraId="3D12A338">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8939-2018</w:t>
            </w:r>
          </w:p>
        </w:tc>
      </w:tr>
      <w:tr w14:paraId="06015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54670094">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12</w:t>
            </w:r>
          </w:p>
        </w:tc>
        <w:tc>
          <w:tcPr>
            <w:tcW w:w="2668" w:type="dxa"/>
            <w:noWrap w:val="0"/>
            <w:vAlign w:val="center"/>
          </w:tcPr>
          <w:p w14:paraId="2EE1B4CD">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背胶剥离强度</w:t>
            </w:r>
          </w:p>
        </w:tc>
        <w:tc>
          <w:tcPr>
            <w:tcW w:w="2647" w:type="dxa"/>
            <w:noWrap w:val="0"/>
            <w:vAlign w:val="center"/>
          </w:tcPr>
          <w:p w14:paraId="379DD2E3">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8939-2018</w:t>
            </w:r>
          </w:p>
        </w:tc>
        <w:tc>
          <w:tcPr>
            <w:tcW w:w="2437" w:type="dxa"/>
            <w:noWrap w:val="0"/>
            <w:vAlign w:val="center"/>
          </w:tcPr>
          <w:p w14:paraId="0D9F132B">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8939-2018</w:t>
            </w:r>
          </w:p>
        </w:tc>
      </w:tr>
      <w:tr w14:paraId="7AD83C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50" w:type="dxa"/>
            <w:gridSpan w:val="4"/>
            <w:noWrap w:val="0"/>
            <w:vAlign w:val="center"/>
          </w:tcPr>
          <w:p w14:paraId="0764BAD3">
            <w:pPr>
              <w:snapToGrid w:val="0"/>
              <w:jc w:val="left"/>
              <w:rPr>
                <w:rFonts w:hint="eastAsia" w:ascii="仿宋" w:hAnsi="仿宋" w:eastAsia="仿宋" w:cs="仿宋"/>
                <w:sz w:val="24"/>
                <w:szCs w:val="24"/>
              </w:rPr>
            </w:pPr>
            <w:r>
              <w:rPr>
                <w:rFonts w:hint="eastAsia" w:ascii="仿宋" w:hAnsi="仿宋" w:eastAsia="仿宋" w:cs="仿宋"/>
                <w:sz w:val="24"/>
                <w:szCs w:val="24"/>
              </w:rPr>
              <w:t>注：</w:t>
            </w:r>
            <w:r>
              <w:rPr>
                <w:rFonts w:hint="eastAsia" w:ascii="仿宋" w:hAnsi="仿宋" w:eastAsia="仿宋" w:cs="仿宋"/>
                <w:sz w:val="24"/>
                <w:szCs w:val="24"/>
                <w:lang w:val="en-US" w:eastAsia="zh-CN"/>
              </w:rPr>
              <w:t>1.</w:t>
            </w:r>
            <w:r>
              <w:rPr>
                <w:rFonts w:hint="eastAsia" w:ascii="仿宋" w:hAnsi="仿宋" w:eastAsia="仿宋" w:cs="仿宋"/>
                <w:sz w:val="24"/>
                <w:szCs w:val="24"/>
              </w:rPr>
              <w:t>依据卫健委“卫监督发〔2005〕515号”《健康相关产品国家卫生监督抽检规定》第十九条“产品微生物指标超标的不予复检”的规定，微生物学指标项目（第1-6项）不予复检。</w:t>
            </w:r>
          </w:p>
          <w:p w14:paraId="23263A34">
            <w:pPr>
              <w:snapToGrid w:val="0"/>
              <w:ind w:firstLine="480" w:firstLineChars="200"/>
              <w:jc w:val="left"/>
              <w:rPr>
                <w:rFonts w:hint="default" w:ascii="仿宋" w:hAnsi="仿宋" w:eastAsia="仿宋" w:cs="仿宋"/>
                <w:sz w:val="24"/>
                <w:szCs w:val="24"/>
                <w:lang w:val="en-US" w:eastAsia="zh-CN"/>
              </w:rPr>
            </w:pPr>
            <w:r>
              <w:rPr>
                <w:rFonts w:hint="eastAsia" w:ascii="仿宋" w:hAnsi="仿宋" w:eastAsia="仿宋" w:cs="仿宋"/>
                <w:color w:val="auto"/>
                <w:sz w:val="24"/>
                <w:szCs w:val="24"/>
                <w:lang w:val="en-US" w:eastAsia="zh-CN"/>
              </w:rPr>
              <w:t>2.产品不同，检验项目不同。</w:t>
            </w:r>
          </w:p>
        </w:tc>
      </w:tr>
    </w:tbl>
    <w:p w14:paraId="75A5B563">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检验方法包括相关产品标准及试验方法标准。</w:t>
      </w:r>
    </w:p>
    <w:p w14:paraId="12830579">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凡是注日期的文件，其随后所有的修改单（不包括勘误的内容）</w:t>
      </w:r>
      <w:bookmarkStart w:id="0" w:name="_GoBack"/>
      <w:bookmarkEnd w:id="0"/>
      <w:r>
        <w:rPr>
          <w:rFonts w:hint="eastAsia" w:ascii="仿宋" w:hAnsi="仿宋" w:eastAsia="仿宋" w:cs="仿宋"/>
          <w:kern w:val="2"/>
          <w:sz w:val="32"/>
          <w:szCs w:val="32"/>
          <w:lang w:val="en-US" w:bidi="ar-SA"/>
        </w:rPr>
        <w:t>或修订版不适用于本细则。凡是不注日期的文件，其最新版本适用于本细则。</w:t>
      </w:r>
    </w:p>
    <w:p w14:paraId="4EA66637">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4.判定规则</w:t>
      </w:r>
    </w:p>
    <w:p w14:paraId="5F92C795">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b/>
          <w:bCs/>
          <w:kern w:val="2"/>
          <w:sz w:val="32"/>
          <w:szCs w:val="32"/>
          <w:lang w:val="en-US" w:bidi="ar-SA"/>
        </w:rPr>
        <w:t>4.1依据标准</w:t>
      </w:r>
    </w:p>
    <w:p w14:paraId="399115B6">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GB/T 8939-2018《卫生巾（护垫）》</w:t>
      </w:r>
    </w:p>
    <w:p w14:paraId="598CDEE1">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 15979-2024《一次性使用卫生用品卫生要求》</w:t>
      </w:r>
    </w:p>
    <w:p w14:paraId="0742151C">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eastAsia="zh-CN" w:bidi="ar-SA"/>
        </w:rPr>
        <w:t>现行有效的企业标准、团</w:t>
      </w:r>
      <w:r>
        <w:rPr>
          <w:rFonts w:hint="eastAsia" w:ascii="仿宋" w:hAnsi="仿宋" w:eastAsia="仿宋" w:cs="仿宋"/>
          <w:kern w:val="2"/>
          <w:sz w:val="32"/>
          <w:szCs w:val="32"/>
          <w:lang w:val="en-US" w:bidi="ar-SA"/>
        </w:rPr>
        <w:t>体标准、地方标准及产品明示质量要求</w:t>
      </w:r>
    </w:p>
    <w:p w14:paraId="23CA891F">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b/>
          <w:bCs/>
          <w:kern w:val="2"/>
          <w:sz w:val="32"/>
          <w:szCs w:val="32"/>
          <w:lang w:val="en-US" w:bidi="ar-SA"/>
        </w:rPr>
      </w:pPr>
      <w:r>
        <w:rPr>
          <w:rFonts w:hint="eastAsia" w:ascii="仿宋" w:hAnsi="仿宋" w:eastAsia="仿宋" w:cs="仿宋"/>
          <w:b/>
          <w:bCs/>
          <w:kern w:val="2"/>
          <w:sz w:val="32"/>
          <w:szCs w:val="32"/>
          <w:lang w:val="en-US" w:bidi="ar-SA"/>
        </w:rPr>
        <w:t>4.2判定原则</w:t>
      </w:r>
    </w:p>
    <w:p w14:paraId="56E10BE8">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经检验，检验项目全部合格，判定为被抽查产品所检项目未发现不合格; 检验项目中任一项或一项以上不合格，判定为被抽查产品不合格。</w:t>
      </w:r>
    </w:p>
    <w:p w14:paraId="06AA2C41">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若被检产品明示的质量要求高于本细则中检验项目依据的标准要求时，应按被检产品明示的质量要求判定。</w:t>
      </w:r>
    </w:p>
    <w:p w14:paraId="7EFA44F9">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若被检产品明示的质量要求低于本细则中检验项目依据的强制性标准要求时，应按照强制性标准要求判定。</w:t>
      </w:r>
    </w:p>
    <w:p w14:paraId="0881EDC8">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39D4AAB3">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若被检产品明示的质量要求缺少本细则中检验项目依据的强制性标准要求时，应按照强制性标准要求判定。</w:t>
      </w:r>
    </w:p>
    <w:p w14:paraId="6413D68E">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若被检产品明示的质量要求缺少本细则中检验项目依据的推荐性标准要求时，该项目不参与判定，但应在检验报告备注中进行说明。</w:t>
      </w:r>
    </w:p>
    <w:p w14:paraId="636993F3">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5.异议处理</w:t>
      </w:r>
    </w:p>
    <w:p w14:paraId="69563141">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5.1对监督抽查程序有异议的，由任务下达部门核查相关证据后维持或者撤销原检验结果。</w:t>
      </w:r>
    </w:p>
    <w:p w14:paraId="5642E57D">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32A039C9">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5.3对样品信息有异议的，任务下达部门核查样品确认情况和生产企业提交证明材料后，维持或者撤销原检验结果。</w:t>
      </w:r>
    </w:p>
    <w:p w14:paraId="4C3FCE31">
      <w:pPr>
        <w:pStyle w:val="5"/>
        <w:tabs>
          <w:tab w:val="left" w:pos="967"/>
          <w:tab w:val="left" w:pos="969"/>
        </w:tabs>
        <w:spacing w:before="120" w:line="360" w:lineRule="auto"/>
        <w:ind w:left="0" w:firstLine="420" w:firstLineChars="200"/>
        <w:rPr>
          <w:rFonts w:ascii="华文仿宋" w:hAnsi="华文仿宋" w:eastAsia="华文仿宋" w:cs="华文仿宋"/>
          <w:kern w:val="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950EB3-6A63-49CF-A2CB-1DC62CE5A6B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embedRegular r:id="rId2" w:fontKey="{E6A9FCFA-24D5-44E1-9D8A-09A8232C5A26}"/>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embedRegular r:id="rId3" w:fontKey="{2C22EBEA-7B93-41FE-92AB-54CA5315F2FA}"/>
  </w:font>
  <w:font w:name="仿宋">
    <w:panose1 w:val="02010609060101010101"/>
    <w:charset w:val="86"/>
    <w:family w:val="auto"/>
    <w:pitch w:val="default"/>
    <w:sig w:usb0="800002BF" w:usb1="38CF7CFA" w:usb2="00000016" w:usb3="00000000" w:csb0="00040001" w:csb1="00000000"/>
    <w:embedRegular r:id="rId4" w:fontKey="{A49AD658-7D39-444A-8558-A1E3F8009D8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4E3BB">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14:paraId="4ACABCE6">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rdppNoAAAANAQAADwAAAAAAAAABACAAAAAiAAAAZHJz&#10;L2Rvd25yZXYueG1sUEsBAhQAFAAAAAgAh07iQNWJauoCAgAAEQQAAA4AAAAAAAAAAQAgAAAAKQEA&#10;AGRycy9lMm9Eb2MueG1sUEsFBgAAAAAGAAYAWQEAAJ0FAAAAAA==&#10;">
              <v:fill on="f" focussize="0,0"/>
              <v:stroke on="f"/>
              <v:imagedata o:title=""/>
              <o:lock v:ext="edit" aspectratio="f"/>
              <v:textbox inset="0mm,0mm,0mm,0mm">
                <w:txbxContent>
                  <w:p w14:paraId="4ACABCE6">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D74BB0"/>
    <w:rsid w:val="00003CB9"/>
    <w:rsid w:val="0000650C"/>
    <w:rsid w:val="0003266E"/>
    <w:rsid w:val="00042E52"/>
    <w:rsid w:val="00075D2C"/>
    <w:rsid w:val="000831B2"/>
    <w:rsid w:val="000E438C"/>
    <w:rsid w:val="000F1035"/>
    <w:rsid w:val="00114B79"/>
    <w:rsid w:val="0014222E"/>
    <w:rsid w:val="00164799"/>
    <w:rsid w:val="00164C00"/>
    <w:rsid w:val="001760BA"/>
    <w:rsid w:val="00182A27"/>
    <w:rsid w:val="00184294"/>
    <w:rsid w:val="00194036"/>
    <w:rsid w:val="001C333A"/>
    <w:rsid w:val="001C40C3"/>
    <w:rsid w:val="001C67A8"/>
    <w:rsid w:val="001E5E14"/>
    <w:rsid w:val="002362B9"/>
    <w:rsid w:val="002659C9"/>
    <w:rsid w:val="002756C3"/>
    <w:rsid w:val="002851E4"/>
    <w:rsid w:val="00287CE4"/>
    <w:rsid w:val="00295234"/>
    <w:rsid w:val="002B6731"/>
    <w:rsid w:val="002D7400"/>
    <w:rsid w:val="0030185E"/>
    <w:rsid w:val="003031BA"/>
    <w:rsid w:val="003175BB"/>
    <w:rsid w:val="00343A35"/>
    <w:rsid w:val="00360E24"/>
    <w:rsid w:val="0036591F"/>
    <w:rsid w:val="00395BCD"/>
    <w:rsid w:val="003C468C"/>
    <w:rsid w:val="003D4C42"/>
    <w:rsid w:val="003E45D1"/>
    <w:rsid w:val="004058B1"/>
    <w:rsid w:val="00432A23"/>
    <w:rsid w:val="00435ACF"/>
    <w:rsid w:val="004626D2"/>
    <w:rsid w:val="00477D1A"/>
    <w:rsid w:val="00491441"/>
    <w:rsid w:val="00493196"/>
    <w:rsid w:val="004B1147"/>
    <w:rsid w:val="004B1CE9"/>
    <w:rsid w:val="00532841"/>
    <w:rsid w:val="00533F57"/>
    <w:rsid w:val="00537E82"/>
    <w:rsid w:val="00557205"/>
    <w:rsid w:val="005833D3"/>
    <w:rsid w:val="005F2F00"/>
    <w:rsid w:val="00611AA6"/>
    <w:rsid w:val="00611E80"/>
    <w:rsid w:val="00614648"/>
    <w:rsid w:val="00620815"/>
    <w:rsid w:val="00621C5C"/>
    <w:rsid w:val="006317CE"/>
    <w:rsid w:val="006728F0"/>
    <w:rsid w:val="00684D22"/>
    <w:rsid w:val="006B3A82"/>
    <w:rsid w:val="007312EA"/>
    <w:rsid w:val="0074736E"/>
    <w:rsid w:val="007645A2"/>
    <w:rsid w:val="00775579"/>
    <w:rsid w:val="00792EA6"/>
    <w:rsid w:val="007B1034"/>
    <w:rsid w:val="007D2716"/>
    <w:rsid w:val="007F454A"/>
    <w:rsid w:val="008225CF"/>
    <w:rsid w:val="00844320"/>
    <w:rsid w:val="008839CC"/>
    <w:rsid w:val="008A359A"/>
    <w:rsid w:val="008F390B"/>
    <w:rsid w:val="00900F0D"/>
    <w:rsid w:val="009034C0"/>
    <w:rsid w:val="00903E92"/>
    <w:rsid w:val="00910E1F"/>
    <w:rsid w:val="00923C62"/>
    <w:rsid w:val="009249DD"/>
    <w:rsid w:val="00951698"/>
    <w:rsid w:val="009555B3"/>
    <w:rsid w:val="00961A58"/>
    <w:rsid w:val="0098052D"/>
    <w:rsid w:val="009B1194"/>
    <w:rsid w:val="00A30987"/>
    <w:rsid w:val="00A60356"/>
    <w:rsid w:val="00A61ABB"/>
    <w:rsid w:val="00AA3B6D"/>
    <w:rsid w:val="00AC0C0B"/>
    <w:rsid w:val="00AC3FED"/>
    <w:rsid w:val="00AD654A"/>
    <w:rsid w:val="00AE2A65"/>
    <w:rsid w:val="00AF6DC8"/>
    <w:rsid w:val="00B52AAF"/>
    <w:rsid w:val="00B87A8B"/>
    <w:rsid w:val="00B913AD"/>
    <w:rsid w:val="00B92F18"/>
    <w:rsid w:val="00B95581"/>
    <w:rsid w:val="00BC446E"/>
    <w:rsid w:val="00BD18CC"/>
    <w:rsid w:val="00BD614C"/>
    <w:rsid w:val="00C16AD7"/>
    <w:rsid w:val="00C201F5"/>
    <w:rsid w:val="00C47D2D"/>
    <w:rsid w:val="00C53ED0"/>
    <w:rsid w:val="00C9766F"/>
    <w:rsid w:val="00CC1D12"/>
    <w:rsid w:val="00CF7936"/>
    <w:rsid w:val="00D31044"/>
    <w:rsid w:val="00D74673"/>
    <w:rsid w:val="00D74BB0"/>
    <w:rsid w:val="00DD4AF9"/>
    <w:rsid w:val="00DE70E1"/>
    <w:rsid w:val="00E02AF4"/>
    <w:rsid w:val="00E17597"/>
    <w:rsid w:val="00E21D7D"/>
    <w:rsid w:val="00EC265E"/>
    <w:rsid w:val="00ED4951"/>
    <w:rsid w:val="00F3360C"/>
    <w:rsid w:val="00FB0EB0"/>
    <w:rsid w:val="00FC734D"/>
    <w:rsid w:val="00FE13D5"/>
    <w:rsid w:val="00FE3B4C"/>
    <w:rsid w:val="012A2737"/>
    <w:rsid w:val="01CA216C"/>
    <w:rsid w:val="022E6257"/>
    <w:rsid w:val="025D6B3C"/>
    <w:rsid w:val="02900CBF"/>
    <w:rsid w:val="02BC7D06"/>
    <w:rsid w:val="03435D32"/>
    <w:rsid w:val="034D4E02"/>
    <w:rsid w:val="035B751F"/>
    <w:rsid w:val="03653EFA"/>
    <w:rsid w:val="039B3DC0"/>
    <w:rsid w:val="03D8291E"/>
    <w:rsid w:val="0431202E"/>
    <w:rsid w:val="04AE0FFB"/>
    <w:rsid w:val="052663E3"/>
    <w:rsid w:val="053D71CE"/>
    <w:rsid w:val="05557F9E"/>
    <w:rsid w:val="05852631"/>
    <w:rsid w:val="05AC4062"/>
    <w:rsid w:val="05E41A4E"/>
    <w:rsid w:val="05EC26B0"/>
    <w:rsid w:val="06A20FC1"/>
    <w:rsid w:val="06B86A37"/>
    <w:rsid w:val="06CB49BC"/>
    <w:rsid w:val="06E65352"/>
    <w:rsid w:val="07697D31"/>
    <w:rsid w:val="07707311"/>
    <w:rsid w:val="078E014B"/>
    <w:rsid w:val="079B25E0"/>
    <w:rsid w:val="08000695"/>
    <w:rsid w:val="08122176"/>
    <w:rsid w:val="086E1AA3"/>
    <w:rsid w:val="0902626A"/>
    <w:rsid w:val="09297778"/>
    <w:rsid w:val="097E5D15"/>
    <w:rsid w:val="09970B85"/>
    <w:rsid w:val="09A908B8"/>
    <w:rsid w:val="0A334D52"/>
    <w:rsid w:val="0A682522"/>
    <w:rsid w:val="0ABB4D47"/>
    <w:rsid w:val="0AC260D6"/>
    <w:rsid w:val="0B00275A"/>
    <w:rsid w:val="0B007BD2"/>
    <w:rsid w:val="0B1A381C"/>
    <w:rsid w:val="0B6D4294"/>
    <w:rsid w:val="0C2C7CAB"/>
    <w:rsid w:val="0C656D19"/>
    <w:rsid w:val="0C7358DA"/>
    <w:rsid w:val="0E0D7668"/>
    <w:rsid w:val="0E2A413A"/>
    <w:rsid w:val="0E2A646C"/>
    <w:rsid w:val="0E3A41D5"/>
    <w:rsid w:val="0E3A5F83"/>
    <w:rsid w:val="0EA55AF2"/>
    <w:rsid w:val="0EA855E3"/>
    <w:rsid w:val="0EDE2DB2"/>
    <w:rsid w:val="0EF10D38"/>
    <w:rsid w:val="0F184516"/>
    <w:rsid w:val="0F423341"/>
    <w:rsid w:val="0F7200CA"/>
    <w:rsid w:val="10022AD1"/>
    <w:rsid w:val="100827DD"/>
    <w:rsid w:val="10090F42"/>
    <w:rsid w:val="10AB4F16"/>
    <w:rsid w:val="10B4026F"/>
    <w:rsid w:val="10F66AD9"/>
    <w:rsid w:val="11164A85"/>
    <w:rsid w:val="114710E3"/>
    <w:rsid w:val="117D5540"/>
    <w:rsid w:val="117F087D"/>
    <w:rsid w:val="11A26319"/>
    <w:rsid w:val="11F823DD"/>
    <w:rsid w:val="1212349F"/>
    <w:rsid w:val="12394ECF"/>
    <w:rsid w:val="128E689D"/>
    <w:rsid w:val="12C50511"/>
    <w:rsid w:val="12C66037"/>
    <w:rsid w:val="132A0CBC"/>
    <w:rsid w:val="13756176"/>
    <w:rsid w:val="13950723"/>
    <w:rsid w:val="1399374C"/>
    <w:rsid w:val="13C0517C"/>
    <w:rsid w:val="13F57B76"/>
    <w:rsid w:val="14023FCD"/>
    <w:rsid w:val="142F3EDE"/>
    <w:rsid w:val="149E54BE"/>
    <w:rsid w:val="14BD0584"/>
    <w:rsid w:val="14EA24B1"/>
    <w:rsid w:val="156A1844"/>
    <w:rsid w:val="158C3568"/>
    <w:rsid w:val="15DE18EA"/>
    <w:rsid w:val="15E72E94"/>
    <w:rsid w:val="15EC2259"/>
    <w:rsid w:val="16F615E1"/>
    <w:rsid w:val="176A7DC8"/>
    <w:rsid w:val="1794667B"/>
    <w:rsid w:val="17C57205"/>
    <w:rsid w:val="18C96881"/>
    <w:rsid w:val="18DA283C"/>
    <w:rsid w:val="191E0979"/>
    <w:rsid w:val="197A050A"/>
    <w:rsid w:val="19AA0461"/>
    <w:rsid w:val="19D11E91"/>
    <w:rsid w:val="19EF2318"/>
    <w:rsid w:val="19F93196"/>
    <w:rsid w:val="1A4A39F2"/>
    <w:rsid w:val="1A642D06"/>
    <w:rsid w:val="1ACD08AB"/>
    <w:rsid w:val="1AD867BE"/>
    <w:rsid w:val="1B132036"/>
    <w:rsid w:val="1B5B5EB7"/>
    <w:rsid w:val="1B7E3953"/>
    <w:rsid w:val="1BA809D0"/>
    <w:rsid w:val="1BB13D28"/>
    <w:rsid w:val="1BD619E1"/>
    <w:rsid w:val="1BED2887"/>
    <w:rsid w:val="1C874A89"/>
    <w:rsid w:val="1C905219"/>
    <w:rsid w:val="1CCE26B8"/>
    <w:rsid w:val="1CD203FA"/>
    <w:rsid w:val="1CE7377A"/>
    <w:rsid w:val="1D721295"/>
    <w:rsid w:val="1D7F39B2"/>
    <w:rsid w:val="1DA65E17"/>
    <w:rsid w:val="1E29229C"/>
    <w:rsid w:val="1E4470D6"/>
    <w:rsid w:val="1EB63404"/>
    <w:rsid w:val="1ED815CC"/>
    <w:rsid w:val="1EDE58F5"/>
    <w:rsid w:val="1FC3402A"/>
    <w:rsid w:val="20607ACB"/>
    <w:rsid w:val="20A91472"/>
    <w:rsid w:val="20F2371F"/>
    <w:rsid w:val="20F46465"/>
    <w:rsid w:val="20FB77F4"/>
    <w:rsid w:val="211D776A"/>
    <w:rsid w:val="217A4BBD"/>
    <w:rsid w:val="21C347B6"/>
    <w:rsid w:val="21E62252"/>
    <w:rsid w:val="220B7F0B"/>
    <w:rsid w:val="22576CAC"/>
    <w:rsid w:val="228201CD"/>
    <w:rsid w:val="22857CBD"/>
    <w:rsid w:val="22BE4F7D"/>
    <w:rsid w:val="230010F2"/>
    <w:rsid w:val="23517B9F"/>
    <w:rsid w:val="23867849"/>
    <w:rsid w:val="23D902C0"/>
    <w:rsid w:val="242332EA"/>
    <w:rsid w:val="248F097F"/>
    <w:rsid w:val="248F4E23"/>
    <w:rsid w:val="258A1146"/>
    <w:rsid w:val="259B3958"/>
    <w:rsid w:val="264B6B28"/>
    <w:rsid w:val="26630315"/>
    <w:rsid w:val="26DE5BEE"/>
    <w:rsid w:val="26E2185C"/>
    <w:rsid w:val="270311B0"/>
    <w:rsid w:val="276500BD"/>
    <w:rsid w:val="27F52646"/>
    <w:rsid w:val="28285372"/>
    <w:rsid w:val="290929D6"/>
    <w:rsid w:val="295126A7"/>
    <w:rsid w:val="296E14AB"/>
    <w:rsid w:val="2973086F"/>
    <w:rsid w:val="298505A2"/>
    <w:rsid w:val="2A1619CB"/>
    <w:rsid w:val="2A44045E"/>
    <w:rsid w:val="2A636B36"/>
    <w:rsid w:val="2AB949A8"/>
    <w:rsid w:val="2AC31382"/>
    <w:rsid w:val="2AF53506"/>
    <w:rsid w:val="2B033E75"/>
    <w:rsid w:val="2B204A27"/>
    <w:rsid w:val="2B8F395A"/>
    <w:rsid w:val="2BA271EA"/>
    <w:rsid w:val="2C3A1B18"/>
    <w:rsid w:val="2C504E98"/>
    <w:rsid w:val="2C8B4122"/>
    <w:rsid w:val="2D53647D"/>
    <w:rsid w:val="2D7626DC"/>
    <w:rsid w:val="2D947006"/>
    <w:rsid w:val="2DB80F46"/>
    <w:rsid w:val="2DCA6ECC"/>
    <w:rsid w:val="2E6B5FB9"/>
    <w:rsid w:val="2EF37D5C"/>
    <w:rsid w:val="2FA71273"/>
    <w:rsid w:val="2FFC1107"/>
    <w:rsid w:val="3002294D"/>
    <w:rsid w:val="30112B90"/>
    <w:rsid w:val="30C80BB8"/>
    <w:rsid w:val="30F06C49"/>
    <w:rsid w:val="32AE0B6A"/>
    <w:rsid w:val="32FA5B5D"/>
    <w:rsid w:val="33386686"/>
    <w:rsid w:val="3379117D"/>
    <w:rsid w:val="33E81E5A"/>
    <w:rsid w:val="34585069"/>
    <w:rsid w:val="34873EF6"/>
    <w:rsid w:val="349A13A6"/>
    <w:rsid w:val="34BD32E6"/>
    <w:rsid w:val="35727C2D"/>
    <w:rsid w:val="3575771D"/>
    <w:rsid w:val="35870802"/>
    <w:rsid w:val="35FE3505"/>
    <w:rsid w:val="36146F36"/>
    <w:rsid w:val="36563EA7"/>
    <w:rsid w:val="368E6467"/>
    <w:rsid w:val="369D6F2B"/>
    <w:rsid w:val="36A24542"/>
    <w:rsid w:val="37133692"/>
    <w:rsid w:val="37521F82"/>
    <w:rsid w:val="37DA41AF"/>
    <w:rsid w:val="37F95C4C"/>
    <w:rsid w:val="37FE1C4C"/>
    <w:rsid w:val="383B4C4E"/>
    <w:rsid w:val="384B29B7"/>
    <w:rsid w:val="38740160"/>
    <w:rsid w:val="38EC5F48"/>
    <w:rsid w:val="390C65EA"/>
    <w:rsid w:val="39382F3B"/>
    <w:rsid w:val="39396782"/>
    <w:rsid w:val="395A1104"/>
    <w:rsid w:val="39F344F0"/>
    <w:rsid w:val="39FA6443"/>
    <w:rsid w:val="3A0472C2"/>
    <w:rsid w:val="3A2B484E"/>
    <w:rsid w:val="3A2D4A6A"/>
    <w:rsid w:val="3A970136"/>
    <w:rsid w:val="3ABB2076"/>
    <w:rsid w:val="3AD0426A"/>
    <w:rsid w:val="3B651FE2"/>
    <w:rsid w:val="3C5D3D8D"/>
    <w:rsid w:val="3C746980"/>
    <w:rsid w:val="3CBD0327"/>
    <w:rsid w:val="3D5347E8"/>
    <w:rsid w:val="3D803103"/>
    <w:rsid w:val="3DCE38C6"/>
    <w:rsid w:val="3E691DE9"/>
    <w:rsid w:val="3EE85DDF"/>
    <w:rsid w:val="3F0B2EA0"/>
    <w:rsid w:val="3F744EE9"/>
    <w:rsid w:val="3F7DE560"/>
    <w:rsid w:val="401F6C03"/>
    <w:rsid w:val="40464190"/>
    <w:rsid w:val="40534AFF"/>
    <w:rsid w:val="409018AF"/>
    <w:rsid w:val="4162324B"/>
    <w:rsid w:val="41874A60"/>
    <w:rsid w:val="41994793"/>
    <w:rsid w:val="41A03D74"/>
    <w:rsid w:val="41AC44C7"/>
    <w:rsid w:val="42823479"/>
    <w:rsid w:val="42870A90"/>
    <w:rsid w:val="43335634"/>
    <w:rsid w:val="43B835F7"/>
    <w:rsid w:val="43BB30E7"/>
    <w:rsid w:val="440A3726"/>
    <w:rsid w:val="44307631"/>
    <w:rsid w:val="4478250C"/>
    <w:rsid w:val="451E392D"/>
    <w:rsid w:val="45464C32"/>
    <w:rsid w:val="45D93CF8"/>
    <w:rsid w:val="460C0DFA"/>
    <w:rsid w:val="461F14A9"/>
    <w:rsid w:val="467D4684"/>
    <w:rsid w:val="46A71700"/>
    <w:rsid w:val="46B06807"/>
    <w:rsid w:val="46D9595E"/>
    <w:rsid w:val="474D22A8"/>
    <w:rsid w:val="47527C17"/>
    <w:rsid w:val="476F0470"/>
    <w:rsid w:val="47B769D0"/>
    <w:rsid w:val="4860425D"/>
    <w:rsid w:val="48BA00C6"/>
    <w:rsid w:val="49B52386"/>
    <w:rsid w:val="4A4831FA"/>
    <w:rsid w:val="4A631DE2"/>
    <w:rsid w:val="4A6A13C3"/>
    <w:rsid w:val="4A712751"/>
    <w:rsid w:val="4BF20F3C"/>
    <w:rsid w:val="4C392DFB"/>
    <w:rsid w:val="4C4D4AF8"/>
    <w:rsid w:val="4C59524B"/>
    <w:rsid w:val="4C753AE6"/>
    <w:rsid w:val="4CB22BAD"/>
    <w:rsid w:val="4D07262D"/>
    <w:rsid w:val="4D333CEE"/>
    <w:rsid w:val="4D491763"/>
    <w:rsid w:val="4E01203E"/>
    <w:rsid w:val="4E8D5680"/>
    <w:rsid w:val="4E992277"/>
    <w:rsid w:val="4E994025"/>
    <w:rsid w:val="4EB8094F"/>
    <w:rsid w:val="4EEF633A"/>
    <w:rsid w:val="4F041DE6"/>
    <w:rsid w:val="4F174970"/>
    <w:rsid w:val="4F3B332E"/>
    <w:rsid w:val="4F3E697A"/>
    <w:rsid w:val="4F7D4C0E"/>
    <w:rsid w:val="4F9547EC"/>
    <w:rsid w:val="4F980780"/>
    <w:rsid w:val="4FC652ED"/>
    <w:rsid w:val="504601DC"/>
    <w:rsid w:val="508A00C9"/>
    <w:rsid w:val="51051E45"/>
    <w:rsid w:val="519D5BDA"/>
    <w:rsid w:val="51B55619"/>
    <w:rsid w:val="51C25640"/>
    <w:rsid w:val="52554706"/>
    <w:rsid w:val="52C33D66"/>
    <w:rsid w:val="539354E6"/>
    <w:rsid w:val="539D45B7"/>
    <w:rsid w:val="53F266B1"/>
    <w:rsid w:val="540957A8"/>
    <w:rsid w:val="543434D8"/>
    <w:rsid w:val="545F27DC"/>
    <w:rsid w:val="54866DF9"/>
    <w:rsid w:val="54D73AF9"/>
    <w:rsid w:val="55C45E2B"/>
    <w:rsid w:val="55EC35D4"/>
    <w:rsid w:val="56BE0ACC"/>
    <w:rsid w:val="57154464"/>
    <w:rsid w:val="575431DF"/>
    <w:rsid w:val="57574A7D"/>
    <w:rsid w:val="575C2093"/>
    <w:rsid w:val="579A4C4C"/>
    <w:rsid w:val="58CD149A"/>
    <w:rsid w:val="58F610E2"/>
    <w:rsid w:val="59CF1242"/>
    <w:rsid w:val="5A8B33BB"/>
    <w:rsid w:val="5B6634E0"/>
    <w:rsid w:val="5B863B83"/>
    <w:rsid w:val="5B8A5421"/>
    <w:rsid w:val="5BAA161F"/>
    <w:rsid w:val="5BEC1C38"/>
    <w:rsid w:val="5BF94355"/>
    <w:rsid w:val="5C1C7225"/>
    <w:rsid w:val="5C2F3873"/>
    <w:rsid w:val="5C8400C2"/>
    <w:rsid w:val="5CE15514"/>
    <w:rsid w:val="5CFC40FC"/>
    <w:rsid w:val="5D1458EA"/>
    <w:rsid w:val="5D3757E4"/>
    <w:rsid w:val="5DC0337C"/>
    <w:rsid w:val="5DE0757A"/>
    <w:rsid w:val="5E631DAD"/>
    <w:rsid w:val="5E7F4FE5"/>
    <w:rsid w:val="5F092B01"/>
    <w:rsid w:val="5F8D54E0"/>
    <w:rsid w:val="5FC8476A"/>
    <w:rsid w:val="5FE01AB3"/>
    <w:rsid w:val="60343BAD"/>
    <w:rsid w:val="60BE791B"/>
    <w:rsid w:val="60D96503"/>
    <w:rsid w:val="60F11A9E"/>
    <w:rsid w:val="6131633F"/>
    <w:rsid w:val="613A3445"/>
    <w:rsid w:val="61534507"/>
    <w:rsid w:val="61903065"/>
    <w:rsid w:val="61954B1F"/>
    <w:rsid w:val="61AD3C17"/>
    <w:rsid w:val="62540537"/>
    <w:rsid w:val="628726BA"/>
    <w:rsid w:val="62AC0373"/>
    <w:rsid w:val="62F51D1A"/>
    <w:rsid w:val="63554566"/>
    <w:rsid w:val="63D00091"/>
    <w:rsid w:val="63E43B3C"/>
    <w:rsid w:val="642108EC"/>
    <w:rsid w:val="646709F5"/>
    <w:rsid w:val="64AF414A"/>
    <w:rsid w:val="64FE29DC"/>
    <w:rsid w:val="65645D60"/>
    <w:rsid w:val="65660CAD"/>
    <w:rsid w:val="657B69AC"/>
    <w:rsid w:val="6589499B"/>
    <w:rsid w:val="65F04A1A"/>
    <w:rsid w:val="66014531"/>
    <w:rsid w:val="661204ED"/>
    <w:rsid w:val="66284546"/>
    <w:rsid w:val="66486604"/>
    <w:rsid w:val="666351EC"/>
    <w:rsid w:val="66652D12"/>
    <w:rsid w:val="668533B4"/>
    <w:rsid w:val="668D4017"/>
    <w:rsid w:val="66AD290B"/>
    <w:rsid w:val="66D93700"/>
    <w:rsid w:val="66F45E44"/>
    <w:rsid w:val="67073DC9"/>
    <w:rsid w:val="671D35ED"/>
    <w:rsid w:val="6736645D"/>
    <w:rsid w:val="677376B1"/>
    <w:rsid w:val="6809591F"/>
    <w:rsid w:val="686A0AB4"/>
    <w:rsid w:val="688A2F04"/>
    <w:rsid w:val="688E4077"/>
    <w:rsid w:val="68975621"/>
    <w:rsid w:val="68EE2392"/>
    <w:rsid w:val="699851AD"/>
    <w:rsid w:val="69BF098B"/>
    <w:rsid w:val="6A7554EE"/>
    <w:rsid w:val="6A7F011B"/>
    <w:rsid w:val="6B105217"/>
    <w:rsid w:val="6B2B3DFF"/>
    <w:rsid w:val="6B317667"/>
    <w:rsid w:val="6B321631"/>
    <w:rsid w:val="6B792DBC"/>
    <w:rsid w:val="6BB12417"/>
    <w:rsid w:val="6BB67B6C"/>
    <w:rsid w:val="6BDB5825"/>
    <w:rsid w:val="6C2076DB"/>
    <w:rsid w:val="6C7D4B2E"/>
    <w:rsid w:val="6C8B5C8D"/>
    <w:rsid w:val="6CB30550"/>
    <w:rsid w:val="6D0D7C60"/>
    <w:rsid w:val="6D824C5D"/>
    <w:rsid w:val="6F4F27B2"/>
    <w:rsid w:val="700A66D9"/>
    <w:rsid w:val="701A2428"/>
    <w:rsid w:val="70B36D70"/>
    <w:rsid w:val="70FA674D"/>
    <w:rsid w:val="70FE623D"/>
    <w:rsid w:val="71AA1F21"/>
    <w:rsid w:val="71AB7A47"/>
    <w:rsid w:val="71B40FF2"/>
    <w:rsid w:val="71DD6444"/>
    <w:rsid w:val="720C4FF4"/>
    <w:rsid w:val="72E70F53"/>
    <w:rsid w:val="731D6723"/>
    <w:rsid w:val="732B52E4"/>
    <w:rsid w:val="739015EB"/>
    <w:rsid w:val="73C13552"/>
    <w:rsid w:val="74393A30"/>
    <w:rsid w:val="74416441"/>
    <w:rsid w:val="745F3497"/>
    <w:rsid w:val="746F1200"/>
    <w:rsid w:val="748A7DE8"/>
    <w:rsid w:val="74934EEE"/>
    <w:rsid w:val="749649DF"/>
    <w:rsid w:val="74D53759"/>
    <w:rsid w:val="74DA2B1D"/>
    <w:rsid w:val="75114065"/>
    <w:rsid w:val="75330480"/>
    <w:rsid w:val="753541F8"/>
    <w:rsid w:val="75A82C1C"/>
    <w:rsid w:val="75F0011F"/>
    <w:rsid w:val="764A3CD3"/>
    <w:rsid w:val="7662726E"/>
    <w:rsid w:val="767B0330"/>
    <w:rsid w:val="76DB2B7D"/>
    <w:rsid w:val="770519A8"/>
    <w:rsid w:val="770A5210"/>
    <w:rsid w:val="7722255A"/>
    <w:rsid w:val="775C1F10"/>
    <w:rsid w:val="777032C5"/>
    <w:rsid w:val="778030FD"/>
    <w:rsid w:val="78B74F24"/>
    <w:rsid w:val="78C22246"/>
    <w:rsid w:val="79B0209F"/>
    <w:rsid w:val="7A081EDB"/>
    <w:rsid w:val="7A434CC1"/>
    <w:rsid w:val="7AAA4D40"/>
    <w:rsid w:val="7AFB1A3F"/>
    <w:rsid w:val="7B272834"/>
    <w:rsid w:val="7B354F51"/>
    <w:rsid w:val="7B424F78"/>
    <w:rsid w:val="7BB37C24"/>
    <w:rsid w:val="7BD36518"/>
    <w:rsid w:val="7C345209"/>
    <w:rsid w:val="7C6F5149"/>
    <w:rsid w:val="7D124E1E"/>
    <w:rsid w:val="7D717D97"/>
    <w:rsid w:val="7D8201F6"/>
    <w:rsid w:val="7DF764EE"/>
    <w:rsid w:val="7F392B36"/>
    <w:rsid w:val="7F403EC5"/>
    <w:rsid w:val="7F54171E"/>
    <w:rsid w:val="9D5F2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2121" w:right="2138"/>
      <w:jc w:val="center"/>
      <w:outlineLvl w:val="0"/>
    </w:pPr>
    <w:rPr>
      <w:b/>
      <w:bCs/>
      <w:sz w:val="32"/>
      <w:szCs w:val="32"/>
    </w:rPr>
  </w:style>
  <w:style w:type="paragraph" w:styleId="3">
    <w:name w:val="heading 2"/>
    <w:basedOn w:val="1"/>
    <w:next w:val="1"/>
    <w:qFormat/>
    <w:uiPriority w:val="1"/>
    <w:pPr>
      <w:ind w:left="789"/>
      <w:outlineLvl w:val="1"/>
    </w:pPr>
    <w:rPr>
      <w:b/>
      <w:bCs/>
      <w:sz w:val="28"/>
      <w:szCs w:val="28"/>
    </w:rPr>
  </w:style>
  <w:style w:type="paragraph" w:styleId="4">
    <w:name w:val="heading 3"/>
    <w:basedOn w:val="1"/>
    <w:next w:val="1"/>
    <w:qFormat/>
    <w:uiPriority w:val="1"/>
    <w:pPr>
      <w:spacing w:before="186"/>
      <w:ind w:left="227"/>
      <w:outlineLvl w:val="2"/>
    </w:pPr>
    <w:rPr>
      <w:sz w:val="28"/>
      <w:szCs w:val="28"/>
    </w:rPr>
  </w:style>
  <w:style w:type="paragraph" w:styleId="5">
    <w:name w:val="heading 4"/>
    <w:basedOn w:val="1"/>
    <w:next w:val="1"/>
    <w:qFormat/>
    <w:uiPriority w:val="1"/>
    <w:pPr>
      <w:ind w:left="862"/>
      <w:outlineLvl w:val="3"/>
    </w:pPr>
    <w:rPr>
      <w:b/>
      <w:bCs/>
      <w:sz w:val="21"/>
      <w:szCs w:val="21"/>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9"/>
    <w:qFormat/>
    <w:uiPriority w:val="1"/>
    <w:rPr>
      <w:sz w:val="21"/>
      <w:szCs w:val="21"/>
    </w:rPr>
  </w:style>
  <w:style w:type="paragraph" w:styleId="7">
    <w:name w:val="Balloon Text"/>
    <w:basedOn w:val="1"/>
    <w:link w:val="16"/>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unhideWhenUsed/>
    <w:qFormat/>
    <w:uiPriority w:val="2"/>
    <w:tblPr>
      <w:tblCellMar>
        <w:top w:w="0" w:type="dxa"/>
        <w:left w:w="0" w:type="dxa"/>
        <w:bottom w:w="0" w:type="dxa"/>
        <w:right w:w="0" w:type="dxa"/>
      </w:tblCellMar>
    </w:tblPr>
  </w:style>
  <w:style w:type="paragraph" w:customStyle="1" w:styleId="14">
    <w:name w:val="列出段落1"/>
    <w:basedOn w:val="1"/>
    <w:qFormat/>
    <w:uiPriority w:val="1"/>
    <w:pPr>
      <w:ind w:left="227" w:firstLine="420"/>
    </w:pPr>
  </w:style>
  <w:style w:type="paragraph" w:customStyle="1" w:styleId="15">
    <w:name w:val="Table Paragraph"/>
    <w:basedOn w:val="1"/>
    <w:qFormat/>
    <w:uiPriority w:val="1"/>
  </w:style>
  <w:style w:type="character" w:customStyle="1" w:styleId="16">
    <w:name w:val="批注框文本 字符"/>
    <w:basedOn w:val="12"/>
    <w:link w:val="7"/>
    <w:semiHidden/>
    <w:qFormat/>
    <w:uiPriority w:val="99"/>
    <w:rPr>
      <w:rFonts w:ascii="宋体" w:hAnsi="宋体" w:eastAsia="宋体" w:cs="宋体"/>
      <w:sz w:val="18"/>
      <w:szCs w:val="18"/>
      <w:lang w:val="zh-CN" w:eastAsia="zh-CN" w:bidi="zh-CN"/>
    </w:rPr>
  </w:style>
  <w:style w:type="character" w:customStyle="1" w:styleId="17">
    <w:name w:val="页眉 字符"/>
    <w:basedOn w:val="12"/>
    <w:link w:val="9"/>
    <w:qFormat/>
    <w:uiPriority w:val="99"/>
    <w:rPr>
      <w:rFonts w:ascii="宋体" w:hAnsi="宋体" w:eastAsia="宋体" w:cs="宋体"/>
      <w:sz w:val="18"/>
      <w:szCs w:val="18"/>
      <w:lang w:val="zh-CN" w:eastAsia="zh-CN" w:bidi="zh-CN"/>
    </w:rPr>
  </w:style>
  <w:style w:type="character" w:customStyle="1" w:styleId="18">
    <w:name w:val="页脚 字符"/>
    <w:basedOn w:val="12"/>
    <w:link w:val="8"/>
    <w:qFormat/>
    <w:uiPriority w:val="99"/>
    <w:rPr>
      <w:rFonts w:ascii="宋体" w:hAnsi="宋体" w:eastAsia="宋体" w:cs="宋体"/>
      <w:sz w:val="18"/>
      <w:szCs w:val="18"/>
      <w:lang w:val="zh-CN" w:eastAsia="zh-CN" w:bidi="zh-CN"/>
    </w:rPr>
  </w:style>
  <w:style w:type="character" w:customStyle="1" w:styleId="19">
    <w:name w:val="正文文本 字符"/>
    <w:basedOn w:val="12"/>
    <w:link w:val="6"/>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1235</Words>
  <Characters>1546</Characters>
  <Lines>10</Lines>
  <Paragraphs>2</Paragraphs>
  <TotalTime>0</TotalTime>
  <ScaleCrop>false</ScaleCrop>
  <LinksUpToDate>false</LinksUpToDate>
  <CharactersWithSpaces>1574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2020-07-30T06:43:00Z</dcterms:created>
  <dc:creator>合肥质检院，程浩</dc:creator>
  <cp:lastModifiedBy>蔡爽</cp:lastModifiedBy>
  <dcterms:modified xsi:type="dcterms:W3CDTF">2026-03-13T05:55:31Z</dcterms:modified>
  <dc:title>安全帽产品质量监督抽查实施细则</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2052-12.1.0.25225</vt:lpwstr>
  </property>
  <property fmtid="{D5CDD505-2E9C-101B-9397-08002B2CF9AE}" pid="6" name="ICV">
    <vt:lpwstr>2D7D1D392B6D4A88A1C6506EBDE35968_13</vt:lpwstr>
  </property>
  <property fmtid="{D5CDD505-2E9C-101B-9397-08002B2CF9AE}" pid="7" name="KSOTemplateDocerSaveRecord">
    <vt:lpwstr>eyJoZGlkIjoiZTBhOWVkYmUxNzIxNjA1NDFiYzg1MTM4MjRiZDYyMTciLCJ1c2VySWQiOiI0Mzc1NDU0NTEifQ==</vt:lpwstr>
  </property>
</Properties>
</file>