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D6650">
      <w:pPr>
        <w:snapToGrid w:val="0"/>
        <w:spacing w:line="440" w:lineRule="exact"/>
        <w:ind w:firstLine="547" w:firstLineChars="171"/>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val="en-US" w:eastAsia="zh-CN"/>
        </w:rPr>
        <w:t>昆山市</w:t>
      </w:r>
      <w:r>
        <w:rPr>
          <w:rFonts w:hint="eastAsia" w:ascii="方正小标宋简体" w:hAnsi="方正小标宋简体" w:eastAsia="方正小标宋简体" w:cs="方正小标宋简体"/>
          <w:sz w:val="32"/>
          <w:szCs w:val="32"/>
        </w:rPr>
        <w:t>电动汽车充电桩产品质量监督抽查实施细则</w:t>
      </w:r>
    </w:p>
    <w:p w14:paraId="05568DA5">
      <w:pPr>
        <w:snapToGrid w:val="0"/>
        <w:spacing w:line="440" w:lineRule="exact"/>
        <w:ind w:firstLine="547" w:firstLineChars="171"/>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w:t>
      </w:r>
      <w:r>
        <w:rPr>
          <w:rFonts w:hint="eastAsia" w:ascii="方正小标宋简体" w:hAnsi="方正小标宋简体" w:eastAsia="方正小标宋简体" w:cs="方正小标宋简体"/>
          <w:sz w:val="32"/>
          <w:szCs w:val="32"/>
          <w:lang w:val="en-US" w:eastAsia="zh-CN"/>
        </w:rPr>
        <w:t>5年</w:t>
      </w:r>
      <w:r>
        <w:rPr>
          <w:rFonts w:hint="eastAsia" w:ascii="方正小标宋简体" w:hAnsi="方正小标宋简体" w:eastAsia="方正小标宋简体" w:cs="方正小标宋简体"/>
          <w:sz w:val="32"/>
          <w:szCs w:val="32"/>
        </w:rPr>
        <w:t>版）</w:t>
      </w:r>
    </w:p>
    <w:p w14:paraId="3176CDC1">
      <w:pPr>
        <w:spacing w:before="159" w:beforeLines="50" w:line="360" w:lineRule="auto"/>
        <w:rPr>
          <w:rFonts w:hint="eastAsia" w:ascii="黑体" w:hAnsi="黑体" w:eastAsia="黑体" w:cs="黑体"/>
          <w:szCs w:val="21"/>
        </w:rPr>
      </w:pPr>
      <w:r>
        <w:rPr>
          <w:rFonts w:hint="eastAsia" w:ascii="黑体" w:hAnsi="黑体" w:eastAsia="黑体" w:cs="黑体"/>
          <w:szCs w:val="21"/>
        </w:rPr>
        <w:t>1 抽样方法</w:t>
      </w:r>
    </w:p>
    <w:p w14:paraId="4645A38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Arial"/>
        </w:rPr>
      </w:pPr>
      <w:r>
        <w:rPr>
          <w:rFonts w:ascii="宋体" w:hAnsi="宋体" w:cs="Arial"/>
        </w:rPr>
        <w:t>以随机抽样的方式在生产者、销售者的待销产品中抽取。</w:t>
      </w:r>
    </w:p>
    <w:p w14:paraId="4E53F08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Arial"/>
        </w:rPr>
      </w:pPr>
      <w:r>
        <w:rPr>
          <w:rFonts w:hint="eastAsia" w:ascii="宋体" w:hAnsi="宋体" w:cs="Arial"/>
        </w:rPr>
        <w:t>随机数一般可使用随机数表等方法产生。</w:t>
      </w:r>
    </w:p>
    <w:p w14:paraId="2B42A288">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szCs w:val="21"/>
        </w:rPr>
      </w:pPr>
      <w:r>
        <w:rPr>
          <w:rFonts w:ascii="宋体" w:hAnsi="宋体" w:cs="Arial"/>
        </w:rPr>
        <w:t>每批次产品抽取样品</w:t>
      </w:r>
      <w:r>
        <w:rPr>
          <w:rFonts w:hint="eastAsia" w:ascii="宋体" w:hAnsi="宋体" w:cs="Arial"/>
        </w:rPr>
        <w:t>2台</w:t>
      </w:r>
      <w:r>
        <w:rPr>
          <w:rFonts w:ascii="宋体" w:hAnsi="宋体" w:cs="Arial"/>
        </w:rPr>
        <w:t>，其中</w:t>
      </w:r>
      <w:r>
        <w:rPr>
          <w:rFonts w:hint="eastAsia" w:ascii="宋体" w:hAnsi="宋体" w:cs="Arial"/>
        </w:rPr>
        <w:t>1台</w:t>
      </w:r>
      <w:r>
        <w:rPr>
          <w:rFonts w:ascii="宋体" w:hAnsi="宋体" w:cs="Arial"/>
        </w:rPr>
        <w:t>作为检</w:t>
      </w:r>
      <w:r>
        <w:rPr>
          <w:rFonts w:hint="eastAsia" w:ascii="宋体" w:hAnsi="宋体" w:cs="Arial"/>
        </w:rPr>
        <w:t>测</w:t>
      </w:r>
      <w:r>
        <w:rPr>
          <w:rFonts w:ascii="宋体" w:hAnsi="宋体" w:cs="Arial"/>
        </w:rPr>
        <w:t>样品，</w:t>
      </w:r>
      <w:r>
        <w:rPr>
          <w:rFonts w:hint="eastAsia" w:ascii="宋体" w:hAnsi="宋体" w:cs="Arial"/>
        </w:rPr>
        <w:t>1台</w:t>
      </w:r>
      <w:r>
        <w:rPr>
          <w:rFonts w:ascii="宋体" w:hAnsi="宋体" w:cs="Arial"/>
        </w:rPr>
        <w:t>作为备用样品。</w:t>
      </w:r>
    </w:p>
    <w:p w14:paraId="70D08A9F">
      <w:pPr>
        <w:spacing w:before="159" w:beforeLines="50" w:line="360" w:lineRule="auto"/>
        <w:rPr>
          <w:rFonts w:hint="eastAsia" w:ascii="黑体" w:hAnsi="黑体" w:eastAsia="黑体" w:cs="黑体"/>
          <w:szCs w:val="21"/>
        </w:rPr>
      </w:pPr>
      <w:r>
        <w:rPr>
          <w:rFonts w:hint="eastAsia" w:ascii="黑体" w:hAnsi="黑体" w:eastAsia="黑体" w:cs="黑体"/>
          <w:szCs w:val="21"/>
        </w:rPr>
        <w:t>2 检测依据</w:t>
      </w:r>
    </w:p>
    <w:p w14:paraId="0A28F060">
      <w:pPr>
        <w:snapToGrid w:val="0"/>
        <w:spacing w:line="440" w:lineRule="exact"/>
        <w:jc w:val="center"/>
        <w:rPr>
          <w:color w:val="000000"/>
          <w:szCs w:val="21"/>
        </w:rPr>
      </w:pPr>
      <w:r>
        <w:rPr>
          <w:color w:val="000000"/>
          <w:szCs w:val="21"/>
        </w:rPr>
        <w:t>表1  电动汽车交流充电桩</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3594"/>
        <w:gridCol w:w="4806"/>
      </w:tblGrid>
      <w:tr w14:paraId="66DF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pct"/>
            <w:noWrap w:val="0"/>
            <w:vAlign w:val="top"/>
          </w:tcPr>
          <w:p w14:paraId="4F2C677E">
            <w:pPr>
              <w:snapToGrid w:val="0"/>
              <w:spacing w:line="440" w:lineRule="exact"/>
              <w:jc w:val="center"/>
              <w:rPr>
                <w:color w:val="000000"/>
                <w:szCs w:val="21"/>
              </w:rPr>
            </w:pPr>
            <w:r>
              <w:rPr>
                <w:color w:val="000000"/>
                <w:szCs w:val="21"/>
              </w:rPr>
              <w:t>序号</w:t>
            </w:r>
          </w:p>
        </w:tc>
        <w:tc>
          <w:tcPr>
            <w:tcW w:w="3594" w:type="dxa"/>
            <w:noWrap w:val="0"/>
            <w:vAlign w:val="top"/>
          </w:tcPr>
          <w:p w14:paraId="13EAF928">
            <w:pPr>
              <w:snapToGrid w:val="0"/>
              <w:spacing w:line="440" w:lineRule="exact"/>
              <w:jc w:val="center"/>
              <w:rPr>
                <w:color w:val="000000"/>
                <w:szCs w:val="21"/>
              </w:rPr>
            </w:pPr>
            <w:r>
              <w:rPr>
                <w:color w:val="000000"/>
                <w:szCs w:val="21"/>
              </w:rPr>
              <w:t>检验项目</w:t>
            </w:r>
          </w:p>
        </w:tc>
        <w:tc>
          <w:tcPr>
            <w:tcW w:w="4806" w:type="dxa"/>
            <w:noWrap w:val="0"/>
            <w:vAlign w:val="top"/>
          </w:tcPr>
          <w:p w14:paraId="4DA2E334">
            <w:pPr>
              <w:snapToGrid w:val="0"/>
              <w:spacing w:line="440" w:lineRule="exact"/>
              <w:jc w:val="center"/>
              <w:rPr>
                <w:color w:val="000000"/>
                <w:szCs w:val="21"/>
              </w:rPr>
            </w:pPr>
            <w:r>
              <w:rPr>
                <w:color w:val="000000"/>
                <w:szCs w:val="21"/>
              </w:rPr>
              <w:t>检验方法</w:t>
            </w:r>
          </w:p>
        </w:tc>
      </w:tr>
      <w:tr w14:paraId="2893B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05AB43E0">
            <w:pPr>
              <w:jc w:val="center"/>
              <w:rPr>
                <w:color w:val="000000"/>
                <w:sz w:val="18"/>
                <w:szCs w:val="18"/>
              </w:rPr>
            </w:pPr>
            <w:r>
              <w:rPr>
                <w:color w:val="000000"/>
                <w:sz w:val="18"/>
                <w:szCs w:val="18"/>
              </w:rPr>
              <w:t>1</w:t>
            </w:r>
          </w:p>
        </w:tc>
        <w:tc>
          <w:tcPr>
            <w:tcW w:w="3594" w:type="dxa"/>
            <w:noWrap w:val="0"/>
            <w:vAlign w:val="center"/>
          </w:tcPr>
          <w:p w14:paraId="282C97B1">
            <w:pPr>
              <w:widowControl/>
              <w:jc w:val="center"/>
              <w:rPr>
                <w:color w:val="000000"/>
                <w:kern w:val="0"/>
                <w:szCs w:val="21"/>
                <w:highlight w:val="yellow"/>
                <w:lang w:bidi="ar"/>
              </w:rPr>
            </w:pPr>
            <w:r>
              <w:rPr>
                <w:color w:val="000000"/>
                <w:kern w:val="0"/>
                <w:szCs w:val="21"/>
                <w:lang w:bidi="ar"/>
              </w:rPr>
              <w:t>充电连接控制时序</w:t>
            </w:r>
          </w:p>
        </w:tc>
        <w:tc>
          <w:tcPr>
            <w:tcW w:w="4806" w:type="dxa"/>
            <w:noWrap w:val="0"/>
            <w:vAlign w:val="center"/>
          </w:tcPr>
          <w:p w14:paraId="1A4A5ACD">
            <w:pPr>
              <w:widowControl/>
              <w:jc w:val="center"/>
              <w:rPr>
                <w:color w:val="000000"/>
                <w:kern w:val="0"/>
                <w:szCs w:val="21"/>
                <w:lang w:bidi="ar"/>
              </w:rPr>
            </w:pPr>
            <w:r>
              <w:rPr>
                <w:color w:val="000000"/>
                <w:kern w:val="0"/>
                <w:szCs w:val="21"/>
                <w:lang w:bidi="ar"/>
              </w:rPr>
              <w:t>GB/T 18487.1—2015</w:t>
            </w:r>
          </w:p>
          <w:p w14:paraId="1F0A7F92">
            <w:pPr>
              <w:widowControl/>
              <w:jc w:val="center"/>
              <w:rPr>
                <w:color w:val="000000"/>
                <w:kern w:val="0"/>
                <w:szCs w:val="21"/>
                <w:lang w:bidi="ar"/>
              </w:rPr>
            </w:pPr>
            <w:r>
              <w:rPr>
                <w:color w:val="000000"/>
                <w:kern w:val="0"/>
                <w:szCs w:val="21"/>
                <w:lang w:bidi="ar"/>
              </w:rPr>
              <w:t xml:space="preserve"> GB/T 18487.1—2023</w:t>
            </w:r>
          </w:p>
        </w:tc>
      </w:tr>
      <w:tr w14:paraId="02A7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20400FFC">
            <w:pPr>
              <w:jc w:val="center"/>
              <w:rPr>
                <w:color w:val="000000"/>
                <w:sz w:val="18"/>
                <w:szCs w:val="18"/>
              </w:rPr>
            </w:pPr>
            <w:r>
              <w:rPr>
                <w:color w:val="000000"/>
                <w:sz w:val="18"/>
                <w:szCs w:val="18"/>
              </w:rPr>
              <w:t>2</w:t>
            </w:r>
          </w:p>
        </w:tc>
        <w:tc>
          <w:tcPr>
            <w:tcW w:w="3594" w:type="dxa"/>
            <w:noWrap w:val="0"/>
            <w:vAlign w:val="center"/>
          </w:tcPr>
          <w:p w14:paraId="31898183">
            <w:pPr>
              <w:widowControl/>
              <w:jc w:val="center"/>
              <w:rPr>
                <w:strike/>
                <w:color w:val="000000"/>
                <w:kern w:val="0"/>
                <w:szCs w:val="21"/>
                <w:lang w:bidi="ar"/>
              </w:rPr>
            </w:pPr>
            <w:r>
              <w:rPr>
                <w:color w:val="000000"/>
                <w:kern w:val="0"/>
                <w:szCs w:val="21"/>
                <w:lang w:bidi="ar"/>
              </w:rPr>
              <w:t>非正常条件下充电结束或停止</w:t>
            </w:r>
          </w:p>
        </w:tc>
        <w:tc>
          <w:tcPr>
            <w:tcW w:w="4806" w:type="dxa"/>
            <w:noWrap w:val="0"/>
            <w:vAlign w:val="center"/>
          </w:tcPr>
          <w:p w14:paraId="45513EB3">
            <w:pPr>
              <w:widowControl/>
              <w:jc w:val="center"/>
              <w:rPr>
                <w:color w:val="000000"/>
                <w:kern w:val="0"/>
                <w:szCs w:val="21"/>
                <w:lang w:bidi="ar"/>
              </w:rPr>
            </w:pPr>
            <w:r>
              <w:rPr>
                <w:color w:val="000000"/>
                <w:kern w:val="0"/>
                <w:szCs w:val="21"/>
                <w:lang w:bidi="ar"/>
              </w:rPr>
              <w:t>GB/T 18487.1—2015</w:t>
            </w:r>
          </w:p>
        </w:tc>
      </w:tr>
      <w:tr w14:paraId="7D1A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36BECF36">
            <w:pPr>
              <w:jc w:val="center"/>
              <w:rPr>
                <w:color w:val="000000"/>
                <w:sz w:val="18"/>
                <w:szCs w:val="18"/>
              </w:rPr>
            </w:pPr>
            <w:r>
              <w:rPr>
                <w:color w:val="000000"/>
                <w:sz w:val="18"/>
                <w:szCs w:val="18"/>
              </w:rPr>
              <w:t>3</w:t>
            </w:r>
          </w:p>
        </w:tc>
        <w:tc>
          <w:tcPr>
            <w:tcW w:w="3594" w:type="dxa"/>
            <w:noWrap w:val="0"/>
            <w:vAlign w:val="center"/>
          </w:tcPr>
          <w:p w14:paraId="4DA9376B">
            <w:pPr>
              <w:widowControl/>
              <w:jc w:val="center"/>
              <w:rPr>
                <w:color w:val="000000"/>
                <w:kern w:val="0"/>
                <w:szCs w:val="21"/>
                <w:lang w:bidi="ar"/>
              </w:rPr>
            </w:pPr>
            <w:r>
              <w:rPr>
                <w:color w:val="000000"/>
                <w:kern w:val="0"/>
                <w:szCs w:val="21"/>
                <w:lang w:bidi="ar"/>
              </w:rPr>
              <w:t>非正常条件下充电结束停机</w:t>
            </w:r>
          </w:p>
        </w:tc>
        <w:tc>
          <w:tcPr>
            <w:tcW w:w="4806" w:type="dxa"/>
            <w:noWrap w:val="0"/>
            <w:vAlign w:val="center"/>
          </w:tcPr>
          <w:p w14:paraId="672D5E72">
            <w:pPr>
              <w:widowControl/>
              <w:jc w:val="center"/>
              <w:rPr>
                <w:color w:val="000000"/>
                <w:kern w:val="0"/>
                <w:szCs w:val="21"/>
                <w:lang w:bidi="ar"/>
              </w:rPr>
            </w:pPr>
            <w:r>
              <w:rPr>
                <w:color w:val="000000"/>
                <w:kern w:val="0"/>
                <w:szCs w:val="21"/>
                <w:lang w:bidi="ar"/>
              </w:rPr>
              <w:t>GB/T 18487.1—2023</w:t>
            </w:r>
          </w:p>
        </w:tc>
      </w:tr>
      <w:tr w14:paraId="04BA7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77828033">
            <w:pPr>
              <w:jc w:val="center"/>
              <w:rPr>
                <w:color w:val="000000"/>
                <w:sz w:val="18"/>
                <w:szCs w:val="18"/>
              </w:rPr>
            </w:pPr>
            <w:r>
              <w:rPr>
                <w:color w:val="000000"/>
                <w:sz w:val="18"/>
                <w:szCs w:val="18"/>
              </w:rPr>
              <w:t>4</w:t>
            </w:r>
          </w:p>
        </w:tc>
        <w:tc>
          <w:tcPr>
            <w:tcW w:w="3594" w:type="dxa"/>
            <w:noWrap w:val="0"/>
            <w:vAlign w:val="center"/>
          </w:tcPr>
          <w:p w14:paraId="6D98FD52">
            <w:pPr>
              <w:widowControl/>
              <w:jc w:val="center"/>
              <w:rPr>
                <w:color w:val="000000"/>
                <w:kern w:val="0"/>
                <w:szCs w:val="21"/>
                <w:lang w:bidi="ar"/>
              </w:rPr>
            </w:pPr>
            <w:r>
              <w:rPr>
                <w:rFonts w:hint="eastAsia" w:ascii="宋体" w:hAnsi="宋体" w:cs="宋体"/>
                <w:color w:val="000000"/>
                <w:kern w:val="0"/>
                <w:szCs w:val="21"/>
                <w:lang w:bidi="ar"/>
              </w:rPr>
              <w:t>电动汽车供电设备供电电压消失</w:t>
            </w:r>
            <w:r>
              <w:rPr>
                <w:color w:val="000000"/>
                <w:kern w:val="0"/>
                <w:szCs w:val="21"/>
                <w:lang w:bidi="ar"/>
              </w:rPr>
              <w:t>或供电网断电</w:t>
            </w:r>
          </w:p>
        </w:tc>
        <w:tc>
          <w:tcPr>
            <w:tcW w:w="4806" w:type="dxa"/>
            <w:noWrap w:val="0"/>
            <w:vAlign w:val="center"/>
          </w:tcPr>
          <w:p w14:paraId="5276A4F7">
            <w:pPr>
              <w:widowControl/>
              <w:jc w:val="center"/>
              <w:rPr>
                <w:rFonts w:hint="eastAsia"/>
                <w:color w:val="000000"/>
                <w:kern w:val="0"/>
                <w:szCs w:val="21"/>
                <w:lang w:bidi="ar"/>
              </w:rPr>
            </w:pPr>
            <w:r>
              <w:rPr>
                <w:color w:val="000000"/>
                <w:kern w:val="0"/>
                <w:szCs w:val="21"/>
                <w:lang w:bidi="ar"/>
              </w:rPr>
              <w:t>GB/T 18487.1—2015</w:t>
            </w:r>
          </w:p>
          <w:p w14:paraId="181A0F4C">
            <w:pPr>
              <w:widowControl/>
              <w:jc w:val="center"/>
              <w:rPr>
                <w:color w:val="000000"/>
                <w:kern w:val="0"/>
                <w:szCs w:val="21"/>
                <w:lang w:bidi="ar"/>
              </w:rPr>
            </w:pPr>
            <w:r>
              <w:rPr>
                <w:color w:val="000000"/>
                <w:kern w:val="0"/>
                <w:szCs w:val="21"/>
                <w:lang w:bidi="ar"/>
              </w:rPr>
              <w:t>GB/T 18487.1—2023</w:t>
            </w:r>
          </w:p>
        </w:tc>
      </w:tr>
      <w:tr w14:paraId="74F19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77BF5E2E">
            <w:pPr>
              <w:jc w:val="center"/>
              <w:rPr>
                <w:color w:val="000000"/>
                <w:sz w:val="18"/>
                <w:szCs w:val="18"/>
              </w:rPr>
            </w:pPr>
            <w:r>
              <w:rPr>
                <w:color w:val="000000"/>
                <w:sz w:val="18"/>
                <w:szCs w:val="18"/>
              </w:rPr>
              <w:t>5</w:t>
            </w:r>
          </w:p>
        </w:tc>
        <w:tc>
          <w:tcPr>
            <w:tcW w:w="3594" w:type="dxa"/>
            <w:noWrap w:val="0"/>
            <w:vAlign w:val="center"/>
          </w:tcPr>
          <w:p w14:paraId="4EBBA160">
            <w:pPr>
              <w:widowControl/>
              <w:jc w:val="center"/>
              <w:rPr>
                <w:rFonts w:eastAsia="CIDFont"/>
                <w:color w:val="000000"/>
                <w:kern w:val="0"/>
                <w:szCs w:val="21"/>
                <w:lang w:bidi="ar"/>
              </w:rPr>
            </w:pPr>
            <w:r>
              <w:rPr>
                <w:color w:val="000000"/>
                <w:kern w:val="0"/>
                <w:szCs w:val="21"/>
                <w:lang w:bidi="ar"/>
              </w:rPr>
              <w:t>接触电流</w:t>
            </w:r>
          </w:p>
        </w:tc>
        <w:tc>
          <w:tcPr>
            <w:tcW w:w="4806" w:type="dxa"/>
            <w:noWrap w:val="0"/>
            <w:vAlign w:val="center"/>
          </w:tcPr>
          <w:p w14:paraId="55ADC3B3">
            <w:pPr>
              <w:widowControl/>
              <w:jc w:val="center"/>
              <w:rPr>
                <w:color w:val="000000"/>
                <w:kern w:val="0"/>
                <w:szCs w:val="21"/>
                <w:lang w:bidi="ar"/>
              </w:rPr>
            </w:pPr>
            <w:r>
              <w:rPr>
                <w:color w:val="000000"/>
                <w:kern w:val="0"/>
                <w:szCs w:val="21"/>
                <w:lang w:bidi="ar"/>
              </w:rPr>
              <w:t>GB/T 18487.1—2015</w:t>
            </w:r>
          </w:p>
          <w:p w14:paraId="7B7707F2">
            <w:pPr>
              <w:widowControl/>
              <w:jc w:val="center"/>
              <w:rPr>
                <w:color w:val="000000"/>
                <w:kern w:val="0"/>
                <w:szCs w:val="21"/>
                <w:lang w:bidi="ar"/>
              </w:rPr>
            </w:pPr>
            <w:r>
              <w:rPr>
                <w:color w:val="000000"/>
                <w:kern w:val="0"/>
                <w:szCs w:val="21"/>
                <w:lang w:bidi="ar"/>
              </w:rPr>
              <w:t>GB/T 18487.1—2023</w:t>
            </w:r>
          </w:p>
        </w:tc>
      </w:tr>
      <w:tr w14:paraId="2B62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55E09441">
            <w:pPr>
              <w:jc w:val="center"/>
              <w:rPr>
                <w:color w:val="000000"/>
                <w:sz w:val="18"/>
                <w:szCs w:val="18"/>
              </w:rPr>
            </w:pPr>
            <w:r>
              <w:rPr>
                <w:color w:val="000000"/>
                <w:sz w:val="18"/>
                <w:szCs w:val="18"/>
              </w:rPr>
              <w:t>6</w:t>
            </w:r>
          </w:p>
        </w:tc>
        <w:tc>
          <w:tcPr>
            <w:tcW w:w="3594" w:type="dxa"/>
            <w:noWrap w:val="0"/>
            <w:vAlign w:val="center"/>
          </w:tcPr>
          <w:p w14:paraId="165CA5FD">
            <w:pPr>
              <w:widowControl/>
              <w:jc w:val="center"/>
              <w:rPr>
                <w:color w:val="000000"/>
                <w:kern w:val="0"/>
                <w:szCs w:val="21"/>
                <w:lang w:bidi="ar"/>
              </w:rPr>
            </w:pPr>
            <w:r>
              <w:rPr>
                <w:color w:val="000000"/>
                <w:kern w:val="0"/>
                <w:szCs w:val="21"/>
                <w:lang w:bidi="ar"/>
              </w:rPr>
              <w:t>绝缘电阻</w:t>
            </w:r>
          </w:p>
        </w:tc>
        <w:tc>
          <w:tcPr>
            <w:tcW w:w="4806" w:type="dxa"/>
            <w:noWrap w:val="0"/>
            <w:vAlign w:val="center"/>
          </w:tcPr>
          <w:p w14:paraId="71401AF5">
            <w:pPr>
              <w:widowControl/>
              <w:jc w:val="center"/>
              <w:rPr>
                <w:color w:val="000000"/>
                <w:kern w:val="0"/>
                <w:szCs w:val="21"/>
                <w:lang w:bidi="ar"/>
              </w:rPr>
            </w:pPr>
            <w:r>
              <w:rPr>
                <w:color w:val="000000"/>
                <w:kern w:val="0"/>
                <w:szCs w:val="21"/>
                <w:lang w:bidi="ar"/>
              </w:rPr>
              <w:t>GB/T 18487.1—2015</w:t>
            </w:r>
          </w:p>
          <w:p w14:paraId="35616E30">
            <w:pPr>
              <w:widowControl/>
              <w:jc w:val="center"/>
              <w:rPr>
                <w:color w:val="000000"/>
                <w:kern w:val="0"/>
                <w:szCs w:val="21"/>
                <w:lang w:bidi="ar"/>
              </w:rPr>
            </w:pPr>
            <w:r>
              <w:rPr>
                <w:color w:val="000000"/>
                <w:kern w:val="0"/>
                <w:szCs w:val="21"/>
                <w:lang w:bidi="ar"/>
              </w:rPr>
              <w:t>GB/T 18487.1—2023</w:t>
            </w:r>
          </w:p>
        </w:tc>
      </w:tr>
      <w:tr w14:paraId="0BA7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4889AE9B">
            <w:pPr>
              <w:jc w:val="center"/>
              <w:rPr>
                <w:color w:val="000000"/>
                <w:sz w:val="18"/>
                <w:szCs w:val="18"/>
              </w:rPr>
            </w:pPr>
            <w:r>
              <w:rPr>
                <w:color w:val="000000"/>
                <w:sz w:val="18"/>
                <w:szCs w:val="18"/>
              </w:rPr>
              <w:t>7</w:t>
            </w:r>
          </w:p>
        </w:tc>
        <w:tc>
          <w:tcPr>
            <w:tcW w:w="3594" w:type="dxa"/>
            <w:noWrap w:val="0"/>
            <w:vAlign w:val="center"/>
          </w:tcPr>
          <w:p w14:paraId="01EDFF02">
            <w:pPr>
              <w:widowControl/>
              <w:jc w:val="center"/>
              <w:rPr>
                <w:color w:val="000000"/>
                <w:kern w:val="0"/>
                <w:szCs w:val="21"/>
                <w:lang w:bidi="ar"/>
              </w:rPr>
            </w:pPr>
            <w:r>
              <w:rPr>
                <w:color w:val="000000"/>
                <w:kern w:val="0"/>
                <w:szCs w:val="21"/>
                <w:lang w:bidi="ar"/>
              </w:rPr>
              <w:t>介电强度</w:t>
            </w:r>
          </w:p>
        </w:tc>
        <w:tc>
          <w:tcPr>
            <w:tcW w:w="4806" w:type="dxa"/>
            <w:noWrap w:val="0"/>
            <w:vAlign w:val="center"/>
          </w:tcPr>
          <w:p w14:paraId="5B2D6818">
            <w:pPr>
              <w:widowControl/>
              <w:jc w:val="center"/>
              <w:rPr>
                <w:color w:val="000000"/>
                <w:kern w:val="0"/>
                <w:szCs w:val="21"/>
                <w:lang w:bidi="ar"/>
              </w:rPr>
            </w:pPr>
            <w:r>
              <w:rPr>
                <w:color w:val="000000"/>
                <w:kern w:val="0"/>
                <w:szCs w:val="21"/>
                <w:lang w:bidi="ar"/>
              </w:rPr>
              <w:t>GB/T 18487.1—2015</w:t>
            </w:r>
          </w:p>
          <w:p w14:paraId="663B2866">
            <w:pPr>
              <w:widowControl/>
              <w:jc w:val="center"/>
              <w:rPr>
                <w:color w:val="000000"/>
                <w:kern w:val="0"/>
                <w:szCs w:val="21"/>
                <w:lang w:bidi="ar"/>
              </w:rPr>
            </w:pPr>
            <w:r>
              <w:rPr>
                <w:color w:val="000000"/>
                <w:kern w:val="0"/>
                <w:szCs w:val="21"/>
                <w:lang w:bidi="ar"/>
              </w:rPr>
              <w:t>GB/T 18487.1—2023</w:t>
            </w:r>
          </w:p>
        </w:tc>
      </w:tr>
      <w:tr w14:paraId="2F58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0FFF9074">
            <w:pPr>
              <w:jc w:val="center"/>
              <w:rPr>
                <w:color w:val="000000"/>
                <w:sz w:val="18"/>
                <w:szCs w:val="18"/>
              </w:rPr>
            </w:pPr>
            <w:r>
              <w:rPr>
                <w:color w:val="000000"/>
                <w:sz w:val="18"/>
                <w:szCs w:val="18"/>
              </w:rPr>
              <w:t>8</w:t>
            </w:r>
          </w:p>
        </w:tc>
        <w:tc>
          <w:tcPr>
            <w:tcW w:w="3594" w:type="dxa"/>
            <w:noWrap w:val="0"/>
            <w:vAlign w:val="center"/>
          </w:tcPr>
          <w:p w14:paraId="1CF9CBEC">
            <w:pPr>
              <w:widowControl/>
              <w:jc w:val="center"/>
              <w:rPr>
                <w:color w:val="000000"/>
                <w:kern w:val="0"/>
                <w:szCs w:val="21"/>
                <w:lang w:bidi="ar"/>
              </w:rPr>
            </w:pPr>
            <w:r>
              <w:rPr>
                <w:color w:val="000000"/>
                <w:kern w:val="0"/>
                <w:szCs w:val="21"/>
                <w:lang w:bidi="ar"/>
              </w:rPr>
              <w:t>冲击耐压</w:t>
            </w:r>
          </w:p>
        </w:tc>
        <w:tc>
          <w:tcPr>
            <w:tcW w:w="4806" w:type="dxa"/>
            <w:noWrap w:val="0"/>
            <w:vAlign w:val="center"/>
          </w:tcPr>
          <w:p w14:paraId="61038AB5">
            <w:pPr>
              <w:widowControl/>
              <w:jc w:val="center"/>
              <w:rPr>
                <w:color w:val="000000"/>
                <w:kern w:val="0"/>
                <w:szCs w:val="21"/>
                <w:lang w:bidi="ar"/>
              </w:rPr>
            </w:pPr>
            <w:r>
              <w:rPr>
                <w:color w:val="000000"/>
                <w:kern w:val="0"/>
                <w:szCs w:val="21"/>
                <w:lang w:bidi="ar"/>
              </w:rPr>
              <w:t>GB/T 18487.1—2015</w:t>
            </w:r>
          </w:p>
          <w:p w14:paraId="79135044">
            <w:pPr>
              <w:widowControl/>
              <w:jc w:val="center"/>
              <w:rPr>
                <w:color w:val="000000"/>
                <w:kern w:val="0"/>
                <w:szCs w:val="21"/>
                <w:lang w:bidi="ar"/>
              </w:rPr>
            </w:pPr>
            <w:r>
              <w:rPr>
                <w:color w:val="000000"/>
                <w:kern w:val="0"/>
                <w:szCs w:val="21"/>
                <w:lang w:bidi="ar"/>
              </w:rPr>
              <w:t>GB/T 18487.1—2023</w:t>
            </w:r>
          </w:p>
        </w:tc>
      </w:tr>
      <w:tr w14:paraId="2D824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382E3B13">
            <w:pPr>
              <w:jc w:val="center"/>
              <w:rPr>
                <w:color w:val="000000"/>
                <w:sz w:val="18"/>
                <w:szCs w:val="18"/>
              </w:rPr>
            </w:pPr>
            <w:r>
              <w:rPr>
                <w:color w:val="000000"/>
                <w:sz w:val="18"/>
                <w:szCs w:val="18"/>
              </w:rPr>
              <w:t>9</w:t>
            </w:r>
          </w:p>
        </w:tc>
        <w:tc>
          <w:tcPr>
            <w:tcW w:w="3594" w:type="dxa"/>
            <w:noWrap w:val="0"/>
            <w:vAlign w:val="center"/>
          </w:tcPr>
          <w:p w14:paraId="3DC89017">
            <w:pPr>
              <w:widowControl/>
              <w:jc w:val="center"/>
              <w:rPr>
                <w:rFonts w:eastAsia="CIDFont"/>
                <w:color w:val="000000"/>
                <w:kern w:val="0"/>
                <w:szCs w:val="21"/>
                <w:lang w:bidi="ar"/>
              </w:rPr>
            </w:pPr>
            <w:r>
              <w:rPr>
                <w:color w:val="000000"/>
                <w:kern w:val="0"/>
                <w:szCs w:val="21"/>
                <w:lang w:bidi="ar"/>
              </w:rPr>
              <w:t>温度要求</w:t>
            </w:r>
          </w:p>
        </w:tc>
        <w:tc>
          <w:tcPr>
            <w:tcW w:w="4806" w:type="dxa"/>
            <w:noWrap w:val="0"/>
            <w:vAlign w:val="center"/>
          </w:tcPr>
          <w:p w14:paraId="126E01EB">
            <w:pPr>
              <w:widowControl/>
              <w:jc w:val="center"/>
              <w:rPr>
                <w:color w:val="000000"/>
                <w:kern w:val="0"/>
                <w:szCs w:val="21"/>
                <w:lang w:bidi="ar"/>
              </w:rPr>
            </w:pPr>
            <w:r>
              <w:rPr>
                <w:color w:val="000000"/>
                <w:kern w:val="0"/>
                <w:szCs w:val="21"/>
                <w:lang w:bidi="ar"/>
              </w:rPr>
              <w:t>GB/T 18487.1—2015</w:t>
            </w:r>
          </w:p>
          <w:p w14:paraId="71ACAB48">
            <w:pPr>
              <w:widowControl/>
              <w:jc w:val="center"/>
              <w:rPr>
                <w:color w:val="000000"/>
                <w:kern w:val="0"/>
                <w:szCs w:val="21"/>
                <w:lang w:bidi="ar"/>
              </w:rPr>
            </w:pPr>
            <w:r>
              <w:rPr>
                <w:color w:val="000000"/>
                <w:kern w:val="0"/>
                <w:szCs w:val="21"/>
                <w:lang w:bidi="ar"/>
              </w:rPr>
              <w:t>GB/T 18487.1—2023</w:t>
            </w:r>
          </w:p>
        </w:tc>
      </w:tr>
    </w:tbl>
    <w:p w14:paraId="0C425456">
      <w:pPr>
        <w:snapToGrid w:val="0"/>
        <w:spacing w:line="440" w:lineRule="exact"/>
        <w:ind w:firstLine="359" w:firstLineChars="171"/>
        <w:jc w:val="center"/>
        <w:rPr>
          <w:color w:val="000000"/>
          <w:szCs w:val="21"/>
        </w:rPr>
      </w:pPr>
    </w:p>
    <w:p w14:paraId="390E78A1">
      <w:pPr>
        <w:snapToGrid w:val="0"/>
        <w:spacing w:line="440" w:lineRule="exact"/>
        <w:ind w:firstLine="359" w:firstLineChars="171"/>
        <w:jc w:val="center"/>
        <w:rPr>
          <w:color w:val="000000"/>
          <w:szCs w:val="21"/>
        </w:rPr>
      </w:pPr>
      <w:r>
        <w:rPr>
          <w:color w:val="000000"/>
          <w:szCs w:val="21"/>
        </w:rPr>
        <w:t>表2  电动汽车直流充电桩（非车载充电机）</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3434"/>
        <w:gridCol w:w="4813"/>
      </w:tblGrid>
      <w:tr w14:paraId="706E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02" w:type="pct"/>
            <w:noWrap w:val="0"/>
            <w:vAlign w:val="center"/>
          </w:tcPr>
          <w:p w14:paraId="1BBDEC43">
            <w:pPr>
              <w:snapToGrid w:val="0"/>
              <w:spacing w:line="440" w:lineRule="exact"/>
              <w:jc w:val="center"/>
              <w:rPr>
                <w:color w:val="000000"/>
                <w:szCs w:val="21"/>
              </w:rPr>
            </w:pPr>
            <w:r>
              <w:rPr>
                <w:color w:val="000000"/>
                <w:szCs w:val="21"/>
              </w:rPr>
              <w:t>序号</w:t>
            </w:r>
          </w:p>
        </w:tc>
        <w:tc>
          <w:tcPr>
            <w:tcW w:w="1872" w:type="pct"/>
            <w:noWrap w:val="0"/>
            <w:vAlign w:val="center"/>
          </w:tcPr>
          <w:p w14:paraId="35A63887">
            <w:pPr>
              <w:snapToGrid w:val="0"/>
              <w:spacing w:line="440" w:lineRule="exact"/>
              <w:jc w:val="center"/>
              <w:rPr>
                <w:color w:val="000000"/>
                <w:szCs w:val="21"/>
              </w:rPr>
            </w:pPr>
            <w:r>
              <w:rPr>
                <w:color w:val="000000"/>
                <w:szCs w:val="21"/>
              </w:rPr>
              <w:t>检验项目</w:t>
            </w:r>
          </w:p>
        </w:tc>
        <w:tc>
          <w:tcPr>
            <w:tcW w:w="2624" w:type="pct"/>
            <w:noWrap w:val="0"/>
            <w:vAlign w:val="center"/>
          </w:tcPr>
          <w:p w14:paraId="29EF1D21">
            <w:pPr>
              <w:snapToGrid w:val="0"/>
              <w:spacing w:line="440" w:lineRule="exact"/>
              <w:jc w:val="center"/>
              <w:rPr>
                <w:color w:val="000000"/>
                <w:szCs w:val="21"/>
              </w:rPr>
            </w:pPr>
            <w:r>
              <w:rPr>
                <w:color w:val="000000"/>
                <w:szCs w:val="21"/>
              </w:rPr>
              <w:t>检验方法</w:t>
            </w:r>
          </w:p>
        </w:tc>
      </w:tr>
      <w:tr w14:paraId="47B5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2" w:type="pct"/>
            <w:noWrap w:val="0"/>
            <w:vAlign w:val="center"/>
          </w:tcPr>
          <w:p w14:paraId="5267CE36">
            <w:pPr>
              <w:jc w:val="center"/>
              <w:rPr>
                <w:color w:val="000000"/>
                <w:szCs w:val="21"/>
              </w:rPr>
            </w:pPr>
            <w:bookmarkStart w:id="0" w:name="_GoBack" w:colFirst="1" w:colLast="2"/>
            <w:r>
              <w:rPr>
                <w:color w:val="000000"/>
                <w:sz w:val="18"/>
                <w:szCs w:val="18"/>
              </w:rPr>
              <w:t>1</w:t>
            </w:r>
          </w:p>
        </w:tc>
        <w:tc>
          <w:tcPr>
            <w:tcW w:w="3434" w:type="dxa"/>
            <w:noWrap w:val="0"/>
            <w:vAlign w:val="center"/>
          </w:tcPr>
          <w:p w14:paraId="38A0B6FC">
            <w:pPr>
              <w:widowControl/>
              <w:jc w:val="center"/>
              <w:rPr>
                <w:color w:val="000000"/>
                <w:kern w:val="0"/>
                <w:szCs w:val="21"/>
                <w:lang w:bidi="ar"/>
              </w:rPr>
            </w:pPr>
            <w:r>
              <w:rPr>
                <w:color w:val="000000"/>
                <w:kern w:val="0"/>
                <w:szCs w:val="21"/>
                <w:lang w:bidi="ar"/>
              </w:rPr>
              <w:t>充电连接控制时序</w:t>
            </w:r>
          </w:p>
        </w:tc>
        <w:tc>
          <w:tcPr>
            <w:tcW w:w="4813" w:type="dxa"/>
            <w:noWrap w:val="0"/>
            <w:vAlign w:val="center"/>
          </w:tcPr>
          <w:p w14:paraId="16FAC55C">
            <w:pPr>
              <w:jc w:val="center"/>
              <w:rPr>
                <w:color w:val="000000"/>
                <w:szCs w:val="21"/>
              </w:rPr>
            </w:pPr>
            <w:r>
              <w:rPr>
                <w:color w:val="000000"/>
                <w:szCs w:val="21"/>
              </w:rPr>
              <w:t>GB/T 18487.1—2015</w:t>
            </w:r>
          </w:p>
          <w:p w14:paraId="53A10DC9">
            <w:pPr>
              <w:jc w:val="center"/>
              <w:rPr>
                <w:color w:val="000000"/>
                <w:szCs w:val="21"/>
              </w:rPr>
            </w:pPr>
            <w:r>
              <w:rPr>
                <w:color w:val="000000"/>
                <w:szCs w:val="21"/>
              </w:rPr>
              <w:t>GB/T 18487.1—2023</w:t>
            </w:r>
          </w:p>
        </w:tc>
      </w:tr>
      <w:tr w14:paraId="19F2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2" w:type="pct"/>
            <w:noWrap w:val="0"/>
            <w:vAlign w:val="center"/>
          </w:tcPr>
          <w:p w14:paraId="28404099">
            <w:pPr>
              <w:jc w:val="center"/>
              <w:rPr>
                <w:color w:val="000000"/>
                <w:sz w:val="18"/>
                <w:szCs w:val="18"/>
              </w:rPr>
            </w:pPr>
            <w:r>
              <w:rPr>
                <w:color w:val="000000"/>
                <w:sz w:val="18"/>
                <w:szCs w:val="18"/>
              </w:rPr>
              <w:t>2</w:t>
            </w:r>
          </w:p>
        </w:tc>
        <w:tc>
          <w:tcPr>
            <w:tcW w:w="3434" w:type="dxa"/>
            <w:noWrap w:val="0"/>
            <w:vAlign w:val="center"/>
          </w:tcPr>
          <w:p w14:paraId="7B8DCA68">
            <w:pPr>
              <w:widowControl/>
              <w:jc w:val="center"/>
              <w:rPr>
                <w:strike/>
                <w:kern w:val="0"/>
                <w:szCs w:val="21"/>
                <w:lang w:bidi="ar"/>
              </w:rPr>
            </w:pPr>
            <w:r>
              <w:rPr>
                <w:color w:val="000000"/>
                <w:kern w:val="0"/>
                <w:szCs w:val="21"/>
                <w:lang w:bidi="ar"/>
              </w:rPr>
              <w:t>非正常条件下充电中止</w:t>
            </w:r>
          </w:p>
        </w:tc>
        <w:tc>
          <w:tcPr>
            <w:tcW w:w="4813" w:type="dxa"/>
            <w:noWrap w:val="0"/>
            <w:vAlign w:val="center"/>
          </w:tcPr>
          <w:p w14:paraId="25BA7E80">
            <w:pPr>
              <w:jc w:val="center"/>
              <w:rPr>
                <w:color w:val="000000"/>
                <w:szCs w:val="21"/>
              </w:rPr>
            </w:pPr>
            <w:r>
              <w:rPr>
                <w:color w:val="000000"/>
                <w:szCs w:val="21"/>
              </w:rPr>
              <w:t>GB/T 18487.1—2015</w:t>
            </w:r>
          </w:p>
        </w:tc>
      </w:tr>
      <w:tr w14:paraId="1DFA6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2" w:type="pct"/>
            <w:noWrap w:val="0"/>
            <w:vAlign w:val="center"/>
          </w:tcPr>
          <w:p w14:paraId="2723399E">
            <w:pPr>
              <w:jc w:val="center"/>
              <w:rPr>
                <w:color w:val="000000"/>
                <w:sz w:val="18"/>
                <w:szCs w:val="18"/>
              </w:rPr>
            </w:pPr>
            <w:r>
              <w:rPr>
                <w:color w:val="000000"/>
                <w:sz w:val="18"/>
                <w:szCs w:val="18"/>
              </w:rPr>
              <w:t>3</w:t>
            </w:r>
          </w:p>
        </w:tc>
        <w:tc>
          <w:tcPr>
            <w:tcW w:w="3434" w:type="dxa"/>
            <w:noWrap w:val="0"/>
            <w:vAlign w:val="center"/>
          </w:tcPr>
          <w:p w14:paraId="52327840">
            <w:pPr>
              <w:widowControl/>
              <w:jc w:val="center"/>
              <w:rPr>
                <w:color w:val="000000"/>
                <w:kern w:val="0"/>
                <w:szCs w:val="21"/>
                <w:lang w:bidi="ar"/>
              </w:rPr>
            </w:pPr>
            <w:r>
              <w:rPr>
                <w:color w:val="000000"/>
                <w:kern w:val="0"/>
                <w:szCs w:val="21"/>
                <w:lang w:bidi="ar"/>
              </w:rPr>
              <w:t>非正常条件下充电结束停机</w:t>
            </w:r>
          </w:p>
        </w:tc>
        <w:tc>
          <w:tcPr>
            <w:tcW w:w="4813" w:type="dxa"/>
            <w:noWrap w:val="0"/>
            <w:vAlign w:val="center"/>
          </w:tcPr>
          <w:p w14:paraId="360D6D88">
            <w:pPr>
              <w:jc w:val="center"/>
              <w:rPr>
                <w:color w:val="000000"/>
                <w:szCs w:val="21"/>
              </w:rPr>
            </w:pPr>
            <w:r>
              <w:rPr>
                <w:color w:val="000000"/>
                <w:szCs w:val="21"/>
              </w:rPr>
              <w:t>GB/T 18487.1—2023</w:t>
            </w:r>
          </w:p>
        </w:tc>
      </w:tr>
      <w:tr w14:paraId="6B69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2" w:type="pct"/>
            <w:noWrap w:val="0"/>
            <w:vAlign w:val="center"/>
          </w:tcPr>
          <w:p w14:paraId="1E801B1D">
            <w:pPr>
              <w:jc w:val="center"/>
              <w:rPr>
                <w:color w:val="000000"/>
                <w:sz w:val="18"/>
                <w:szCs w:val="18"/>
              </w:rPr>
            </w:pPr>
            <w:r>
              <w:rPr>
                <w:color w:val="000000"/>
                <w:sz w:val="18"/>
                <w:szCs w:val="18"/>
              </w:rPr>
              <w:t>4</w:t>
            </w:r>
          </w:p>
        </w:tc>
        <w:tc>
          <w:tcPr>
            <w:tcW w:w="3434" w:type="dxa"/>
            <w:noWrap w:val="0"/>
            <w:vAlign w:val="center"/>
          </w:tcPr>
          <w:p w14:paraId="02C8B021">
            <w:pPr>
              <w:jc w:val="center"/>
              <w:rPr>
                <w:color w:val="000000"/>
                <w:kern w:val="0"/>
                <w:szCs w:val="21"/>
                <w:lang w:bidi="ar"/>
              </w:rPr>
            </w:pPr>
            <w:r>
              <w:rPr>
                <w:rFonts w:hint="eastAsia" w:ascii="宋体" w:hAnsi="宋体" w:cs="宋体"/>
                <w:color w:val="000000"/>
                <w:kern w:val="0"/>
                <w:szCs w:val="21"/>
                <w:lang w:bidi="ar"/>
              </w:rPr>
              <w:t>电动汽车供电设备供电电压消失</w:t>
            </w:r>
            <w:r>
              <w:rPr>
                <w:color w:val="000000"/>
                <w:kern w:val="0"/>
                <w:szCs w:val="21"/>
                <w:lang w:bidi="ar"/>
              </w:rPr>
              <w:t>或供电网断电</w:t>
            </w:r>
          </w:p>
        </w:tc>
        <w:tc>
          <w:tcPr>
            <w:tcW w:w="4813" w:type="dxa"/>
            <w:noWrap w:val="0"/>
            <w:vAlign w:val="center"/>
          </w:tcPr>
          <w:p w14:paraId="001C7192">
            <w:pPr>
              <w:widowControl/>
              <w:jc w:val="center"/>
              <w:rPr>
                <w:rFonts w:hint="eastAsia"/>
                <w:color w:val="000000"/>
                <w:kern w:val="0"/>
                <w:szCs w:val="21"/>
                <w:lang w:bidi="ar"/>
              </w:rPr>
            </w:pPr>
            <w:r>
              <w:rPr>
                <w:color w:val="000000"/>
                <w:kern w:val="0"/>
                <w:szCs w:val="21"/>
                <w:lang w:bidi="ar"/>
              </w:rPr>
              <w:t>GB/T 18487.1—2015</w:t>
            </w:r>
          </w:p>
          <w:p w14:paraId="1F9252F8">
            <w:pPr>
              <w:jc w:val="center"/>
              <w:rPr>
                <w:color w:val="000000"/>
                <w:szCs w:val="21"/>
              </w:rPr>
            </w:pPr>
            <w:r>
              <w:rPr>
                <w:color w:val="000000"/>
                <w:kern w:val="0"/>
                <w:szCs w:val="21"/>
                <w:lang w:bidi="ar"/>
              </w:rPr>
              <w:t>GB/T 18487.1—2023</w:t>
            </w:r>
          </w:p>
        </w:tc>
      </w:tr>
      <w:tr w14:paraId="32932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2" w:type="pct"/>
            <w:noWrap w:val="0"/>
            <w:vAlign w:val="center"/>
          </w:tcPr>
          <w:p w14:paraId="0ED64A0C">
            <w:pPr>
              <w:jc w:val="center"/>
              <w:rPr>
                <w:color w:val="000000"/>
                <w:szCs w:val="21"/>
              </w:rPr>
            </w:pPr>
            <w:r>
              <w:rPr>
                <w:color w:val="000000"/>
                <w:sz w:val="18"/>
                <w:szCs w:val="18"/>
              </w:rPr>
              <w:t>5</w:t>
            </w:r>
          </w:p>
        </w:tc>
        <w:tc>
          <w:tcPr>
            <w:tcW w:w="3434" w:type="dxa"/>
            <w:noWrap w:val="0"/>
            <w:vAlign w:val="center"/>
          </w:tcPr>
          <w:p w14:paraId="28FBE9A3">
            <w:pPr>
              <w:widowControl/>
              <w:jc w:val="center"/>
              <w:rPr>
                <w:kern w:val="0"/>
                <w:szCs w:val="21"/>
                <w:lang w:bidi="ar"/>
              </w:rPr>
            </w:pPr>
            <w:r>
              <w:rPr>
                <w:color w:val="000000"/>
                <w:kern w:val="0"/>
                <w:szCs w:val="21"/>
                <w:lang w:bidi="ar"/>
              </w:rPr>
              <w:t>绝缘电阻</w:t>
            </w:r>
          </w:p>
        </w:tc>
        <w:tc>
          <w:tcPr>
            <w:tcW w:w="4813" w:type="dxa"/>
            <w:noWrap w:val="0"/>
            <w:vAlign w:val="center"/>
          </w:tcPr>
          <w:p w14:paraId="379286DE">
            <w:pPr>
              <w:jc w:val="center"/>
              <w:rPr>
                <w:color w:val="000000"/>
                <w:szCs w:val="21"/>
              </w:rPr>
            </w:pPr>
            <w:r>
              <w:rPr>
                <w:color w:val="000000"/>
                <w:szCs w:val="21"/>
              </w:rPr>
              <w:t>GB/T 18487.1—2015</w:t>
            </w:r>
          </w:p>
          <w:p w14:paraId="0CBE3D10">
            <w:pPr>
              <w:jc w:val="center"/>
              <w:rPr>
                <w:color w:val="000000"/>
                <w:szCs w:val="21"/>
              </w:rPr>
            </w:pPr>
            <w:r>
              <w:rPr>
                <w:color w:val="000000"/>
                <w:szCs w:val="21"/>
              </w:rPr>
              <w:t xml:space="preserve"> GB/T 18487.1—2023</w:t>
            </w:r>
          </w:p>
        </w:tc>
      </w:tr>
      <w:tr w14:paraId="223E8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2" w:type="pct"/>
            <w:noWrap w:val="0"/>
            <w:vAlign w:val="center"/>
          </w:tcPr>
          <w:p w14:paraId="26A207C3">
            <w:pPr>
              <w:jc w:val="center"/>
              <w:rPr>
                <w:color w:val="000000"/>
                <w:szCs w:val="21"/>
              </w:rPr>
            </w:pPr>
            <w:r>
              <w:rPr>
                <w:color w:val="000000"/>
                <w:sz w:val="18"/>
                <w:szCs w:val="18"/>
              </w:rPr>
              <w:t>6</w:t>
            </w:r>
          </w:p>
        </w:tc>
        <w:tc>
          <w:tcPr>
            <w:tcW w:w="3434" w:type="dxa"/>
            <w:noWrap w:val="0"/>
            <w:vAlign w:val="center"/>
          </w:tcPr>
          <w:p w14:paraId="21FC5A1B">
            <w:pPr>
              <w:widowControl/>
              <w:jc w:val="center"/>
              <w:rPr>
                <w:color w:val="000000"/>
                <w:kern w:val="0"/>
                <w:szCs w:val="21"/>
                <w:lang w:bidi="ar"/>
              </w:rPr>
            </w:pPr>
            <w:r>
              <w:rPr>
                <w:color w:val="000000"/>
                <w:kern w:val="0"/>
                <w:szCs w:val="21"/>
                <w:lang w:bidi="ar"/>
              </w:rPr>
              <w:t>介电强度</w:t>
            </w:r>
          </w:p>
        </w:tc>
        <w:tc>
          <w:tcPr>
            <w:tcW w:w="4813" w:type="dxa"/>
            <w:noWrap w:val="0"/>
            <w:vAlign w:val="center"/>
          </w:tcPr>
          <w:p w14:paraId="597D4A18">
            <w:pPr>
              <w:jc w:val="center"/>
              <w:rPr>
                <w:color w:val="000000"/>
                <w:szCs w:val="21"/>
              </w:rPr>
            </w:pPr>
            <w:r>
              <w:rPr>
                <w:color w:val="000000"/>
                <w:szCs w:val="21"/>
              </w:rPr>
              <w:t>GB/T 18487.1—2015</w:t>
            </w:r>
          </w:p>
          <w:p w14:paraId="1BE63964">
            <w:pPr>
              <w:jc w:val="center"/>
              <w:rPr>
                <w:color w:val="000000"/>
                <w:szCs w:val="21"/>
              </w:rPr>
            </w:pPr>
            <w:r>
              <w:rPr>
                <w:color w:val="000000"/>
                <w:szCs w:val="21"/>
              </w:rPr>
              <w:t xml:space="preserve"> GB/T 18487.1—2023</w:t>
            </w:r>
          </w:p>
        </w:tc>
      </w:tr>
      <w:tr w14:paraId="2B85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2" w:type="pct"/>
            <w:noWrap w:val="0"/>
            <w:vAlign w:val="center"/>
          </w:tcPr>
          <w:p w14:paraId="6E1F2461">
            <w:pPr>
              <w:jc w:val="center"/>
              <w:rPr>
                <w:color w:val="000000"/>
                <w:szCs w:val="21"/>
              </w:rPr>
            </w:pPr>
            <w:r>
              <w:rPr>
                <w:color w:val="000000"/>
                <w:sz w:val="18"/>
                <w:szCs w:val="18"/>
              </w:rPr>
              <w:t>7</w:t>
            </w:r>
          </w:p>
        </w:tc>
        <w:tc>
          <w:tcPr>
            <w:tcW w:w="3434" w:type="dxa"/>
            <w:noWrap w:val="0"/>
            <w:vAlign w:val="center"/>
          </w:tcPr>
          <w:p w14:paraId="0055CBF3">
            <w:pPr>
              <w:widowControl/>
              <w:jc w:val="center"/>
              <w:rPr>
                <w:color w:val="000000"/>
                <w:kern w:val="0"/>
                <w:szCs w:val="21"/>
                <w:lang w:bidi="ar"/>
              </w:rPr>
            </w:pPr>
            <w:r>
              <w:rPr>
                <w:color w:val="000000"/>
                <w:kern w:val="0"/>
                <w:szCs w:val="21"/>
                <w:lang w:bidi="ar"/>
              </w:rPr>
              <w:t>冲击耐压</w:t>
            </w:r>
          </w:p>
        </w:tc>
        <w:tc>
          <w:tcPr>
            <w:tcW w:w="4813" w:type="dxa"/>
            <w:noWrap w:val="0"/>
            <w:vAlign w:val="center"/>
          </w:tcPr>
          <w:p w14:paraId="4A590958">
            <w:pPr>
              <w:jc w:val="center"/>
              <w:rPr>
                <w:color w:val="000000"/>
                <w:szCs w:val="21"/>
              </w:rPr>
            </w:pPr>
            <w:r>
              <w:rPr>
                <w:color w:val="000000"/>
                <w:szCs w:val="21"/>
              </w:rPr>
              <w:t>GB/T 18487.1—2015</w:t>
            </w:r>
          </w:p>
          <w:p w14:paraId="6058CB43">
            <w:pPr>
              <w:jc w:val="center"/>
              <w:rPr>
                <w:color w:val="000000"/>
                <w:szCs w:val="21"/>
              </w:rPr>
            </w:pPr>
            <w:r>
              <w:rPr>
                <w:color w:val="000000"/>
                <w:szCs w:val="21"/>
              </w:rPr>
              <w:t xml:space="preserve"> GB/T 18487.1—2023</w:t>
            </w:r>
          </w:p>
        </w:tc>
      </w:tr>
      <w:tr w14:paraId="03761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2" w:type="pct"/>
            <w:noWrap w:val="0"/>
            <w:vAlign w:val="center"/>
          </w:tcPr>
          <w:p w14:paraId="3DABB6CD">
            <w:pPr>
              <w:jc w:val="center"/>
              <w:rPr>
                <w:color w:val="000000"/>
                <w:szCs w:val="21"/>
              </w:rPr>
            </w:pPr>
            <w:r>
              <w:rPr>
                <w:color w:val="000000"/>
                <w:sz w:val="18"/>
                <w:szCs w:val="18"/>
              </w:rPr>
              <w:t>8</w:t>
            </w:r>
          </w:p>
        </w:tc>
        <w:tc>
          <w:tcPr>
            <w:tcW w:w="3434" w:type="dxa"/>
            <w:noWrap w:val="0"/>
            <w:vAlign w:val="center"/>
          </w:tcPr>
          <w:p w14:paraId="6BEA84DB">
            <w:pPr>
              <w:widowControl/>
              <w:jc w:val="center"/>
              <w:rPr>
                <w:color w:val="000000"/>
                <w:kern w:val="0"/>
                <w:szCs w:val="21"/>
                <w:lang w:bidi="ar"/>
              </w:rPr>
            </w:pPr>
            <w:r>
              <w:rPr>
                <w:color w:val="000000"/>
                <w:kern w:val="0"/>
                <w:szCs w:val="21"/>
                <w:lang w:bidi="ar"/>
              </w:rPr>
              <w:t>温度要求</w:t>
            </w:r>
          </w:p>
        </w:tc>
        <w:tc>
          <w:tcPr>
            <w:tcW w:w="4813" w:type="dxa"/>
            <w:noWrap w:val="0"/>
            <w:vAlign w:val="center"/>
          </w:tcPr>
          <w:p w14:paraId="2B87FFA5">
            <w:pPr>
              <w:jc w:val="center"/>
              <w:rPr>
                <w:color w:val="000000"/>
                <w:szCs w:val="21"/>
              </w:rPr>
            </w:pPr>
            <w:r>
              <w:rPr>
                <w:color w:val="000000"/>
                <w:szCs w:val="21"/>
              </w:rPr>
              <w:t>GB/T 18487.1—2015</w:t>
            </w:r>
          </w:p>
          <w:p w14:paraId="0A7610D9">
            <w:pPr>
              <w:jc w:val="center"/>
              <w:rPr>
                <w:color w:val="000000"/>
                <w:szCs w:val="21"/>
              </w:rPr>
            </w:pPr>
            <w:r>
              <w:rPr>
                <w:color w:val="000000"/>
                <w:szCs w:val="21"/>
              </w:rPr>
              <w:t xml:space="preserve"> GB/T 18487.1—2023</w:t>
            </w:r>
          </w:p>
        </w:tc>
      </w:tr>
      <w:tr w14:paraId="3376F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2" w:type="pct"/>
            <w:noWrap w:val="0"/>
            <w:vAlign w:val="center"/>
          </w:tcPr>
          <w:p w14:paraId="4BC40331">
            <w:pPr>
              <w:jc w:val="center"/>
              <w:rPr>
                <w:color w:val="000000"/>
                <w:szCs w:val="21"/>
              </w:rPr>
            </w:pPr>
            <w:r>
              <w:rPr>
                <w:color w:val="000000"/>
                <w:sz w:val="18"/>
                <w:szCs w:val="18"/>
              </w:rPr>
              <w:t>9</w:t>
            </w:r>
          </w:p>
        </w:tc>
        <w:tc>
          <w:tcPr>
            <w:tcW w:w="3434" w:type="dxa"/>
            <w:noWrap w:val="0"/>
            <w:vAlign w:val="center"/>
          </w:tcPr>
          <w:p w14:paraId="3F00EA14">
            <w:pPr>
              <w:jc w:val="center"/>
              <w:rPr>
                <w:color w:val="000000"/>
                <w:szCs w:val="21"/>
              </w:rPr>
            </w:pPr>
            <w:r>
              <w:rPr>
                <w:kern w:val="0"/>
                <w:szCs w:val="21"/>
                <w:lang w:bidi="ar"/>
              </w:rPr>
              <w:t>急停</w:t>
            </w:r>
          </w:p>
        </w:tc>
        <w:tc>
          <w:tcPr>
            <w:tcW w:w="4813" w:type="dxa"/>
            <w:noWrap w:val="0"/>
            <w:vAlign w:val="center"/>
          </w:tcPr>
          <w:p w14:paraId="179AF807">
            <w:pPr>
              <w:jc w:val="center"/>
              <w:rPr>
                <w:color w:val="000000"/>
                <w:szCs w:val="21"/>
              </w:rPr>
            </w:pPr>
            <w:r>
              <w:rPr>
                <w:color w:val="000000"/>
                <w:szCs w:val="21"/>
              </w:rPr>
              <w:t>GB/T 18487.1—2015</w:t>
            </w:r>
          </w:p>
          <w:p w14:paraId="1CCF5B1B">
            <w:pPr>
              <w:jc w:val="center"/>
              <w:rPr>
                <w:color w:val="000000"/>
                <w:szCs w:val="21"/>
              </w:rPr>
            </w:pPr>
            <w:r>
              <w:rPr>
                <w:color w:val="000000"/>
                <w:szCs w:val="21"/>
              </w:rPr>
              <w:t xml:space="preserve"> GB/T 18487.1—2023</w:t>
            </w:r>
          </w:p>
        </w:tc>
      </w:tr>
      <w:bookmarkEnd w:id="0"/>
    </w:tbl>
    <w:p w14:paraId="6B2E858C">
      <w:pPr>
        <w:keepNext w:val="0"/>
        <w:keepLines w:val="0"/>
        <w:pageBreakBefore w:val="0"/>
        <w:widowControl w:val="0"/>
        <w:kinsoku/>
        <w:wordWrap/>
        <w:overflowPunct/>
        <w:topLinePunct w:val="0"/>
        <w:autoSpaceDE/>
        <w:autoSpaceDN/>
        <w:bidi w:val="0"/>
        <w:adjustRightInd/>
        <w:snapToGrid w:val="0"/>
        <w:spacing w:before="161" w:beforeLines="50" w:line="440" w:lineRule="exact"/>
        <w:ind w:firstLine="420" w:firstLineChars="200"/>
        <w:textAlignment w:val="auto"/>
        <w:rPr>
          <w:rFonts w:ascii="Arial" w:hAnsi="Arial" w:cs="Arial"/>
          <w:szCs w:val="21"/>
        </w:rPr>
      </w:pPr>
      <w:r>
        <w:rPr>
          <w:rFonts w:ascii="Arial" w:hAnsi="Arial" w:cs="Arial"/>
          <w:szCs w:val="21"/>
        </w:rPr>
        <w:t>执行企业标准、团体标准、地方标准的产品，检验项目参照上述内容执行。</w:t>
      </w:r>
    </w:p>
    <w:p w14:paraId="13C7FB01">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eastAsiaTheme="minorEastAsia"/>
          <w:szCs w:val="21"/>
        </w:rPr>
      </w:pPr>
      <w:r>
        <w:rPr>
          <w:rFonts w:ascii="Arial" w:hAnsi="Arial" w:cs="Arial"/>
          <w:szCs w:val="21"/>
        </w:rPr>
        <w:t>凡是注日期的文件，其随后所有的修改单（不包括勘误的内容）或修订版不适用于本细则。凡是不注日期的文件，其最新版本适用于本细则。</w:t>
      </w:r>
    </w:p>
    <w:p w14:paraId="35A673CB">
      <w:pPr>
        <w:spacing w:before="159" w:beforeLines="50" w:line="360" w:lineRule="auto"/>
        <w:rPr>
          <w:rFonts w:hint="eastAsia" w:ascii="黑体" w:hAnsi="黑体" w:eastAsia="黑体" w:cs="黑体"/>
          <w:szCs w:val="21"/>
        </w:rPr>
      </w:pPr>
      <w:r>
        <w:rPr>
          <w:rFonts w:hint="eastAsia" w:ascii="黑体" w:hAnsi="黑体" w:eastAsia="黑体" w:cs="黑体"/>
          <w:szCs w:val="21"/>
        </w:rPr>
        <w:t>3 判定规则</w:t>
      </w:r>
    </w:p>
    <w:p w14:paraId="028828C0">
      <w:pPr>
        <w:snapToGrid w:val="0"/>
        <w:spacing w:line="440" w:lineRule="exact"/>
        <w:rPr>
          <w:rFonts w:hint="eastAsia" w:ascii="宋体" w:hAnsi="宋体" w:eastAsia="宋体" w:cs="宋体"/>
          <w:szCs w:val="21"/>
        </w:rPr>
      </w:pPr>
      <w:r>
        <w:rPr>
          <w:rFonts w:hint="eastAsia" w:ascii="宋体" w:hAnsi="宋体" w:eastAsia="宋体" w:cs="宋体"/>
          <w:szCs w:val="21"/>
        </w:rPr>
        <w:t>3.1依据标准</w:t>
      </w:r>
    </w:p>
    <w:p w14:paraId="325A336F">
      <w:pPr>
        <w:spacing w:line="360" w:lineRule="auto"/>
        <w:ind w:firstLine="420" w:firstLineChars="200"/>
        <w:rPr>
          <w:rFonts w:hint="eastAsia" w:ascii="宋体" w:hAnsi="宋体" w:eastAsia="宋体" w:cs="宋体"/>
        </w:rPr>
      </w:pPr>
      <w:r>
        <w:rPr>
          <w:rFonts w:hint="eastAsia" w:ascii="宋体" w:hAnsi="宋体" w:eastAsia="宋体" w:cs="宋体"/>
        </w:rPr>
        <w:t>GB/T 18487.1-2015 电动汽车传导充电系统 第1部分：通用要求。</w:t>
      </w:r>
    </w:p>
    <w:p w14:paraId="05546B4B">
      <w:pPr>
        <w:spacing w:line="360" w:lineRule="auto"/>
        <w:ind w:firstLine="420" w:firstLineChars="200"/>
        <w:rPr>
          <w:rFonts w:hint="eastAsia" w:ascii="宋体" w:hAnsi="宋体" w:eastAsia="宋体" w:cs="宋体"/>
        </w:rPr>
      </w:pPr>
      <w:r>
        <w:rPr>
          <w:rFonts w:hint="eastAsia" w:ascii="宋体" w:hAnsi="宋体" w:eastAsia="宋体" w:cs="宋体"/>
        </w:rPr>
        <w:t>GB/T 18487.1-2023 电动汽车传导充电系统 第1部分：通用要求。</w:t>
      </w:r>
    </w:p>
    <w:p w14:paraId="11F6461B">
      <w:pPr>
        <w:snapToGrid w:val="0"/>
        <w:spacing w:line="440" w:lineRule="exact"/>
        <w:ind w:firstLine="420" w:firstLineChars="200"/>
        <w:rPr>
          <w:rFonts w:hint="eastAsia" w:ascii="宋体" w:hAnsi="宋体" w:eastAsia="宋体" w:cs="宋体"/>
          <w:szCs w:val="21"/>
        </w:rPr>
      </w:pPr>
      <w:r>
        <w:rPr>
          <w:rFonts w:hint="eastAsia" w:ascii="宋体" w:hAnsi="宋体" w:eastAsia="宋体" w:cs="宋体"/>
          <w:color w:val="000000"/>
        </w:rPr>
        <w:t>现行有效的企业标准、团体标准、地方标准及产品明示质量要求</w:t>
      </w:r>
    </w:p>
    <w:p w14:paraId="79F6E5D7">
      <w:pPr>
        <w:keepNext w:val="0"/>
        <w:keepLines w:val="0"/>
        <w:pageBreakBefore w:val="0"/>
        <w:widowControl w:val="0"/>
        <w:kinsoku/>
        <w:wordWrap/>
        <w:overflowPunct/>
        <w:topLinePunct w:val="0"/>
        <w:autoSpaceDE/>
        <w:autoSpaceDN/>
        <w:bidi w:val="0"/>
        <w:adjustRightInd w:val="0"/>
        <w:snapToGrid w:val="0"/>
        <w:spacing w:before="161" w:beforeLines="50" w:line="440" w:lineRule="exact"/>
        <w:textAlignment w:val="auto"/>
        <w:rPr>
          <w:rFonts w:hint="eastAsia" w:ascii="宋体" w:hAnsi="宋体" w:eastAsia="宋体" w:cs="宋体"/>
          <w:szCs w:val="21"/>
        </w:rPr>
      </w:pPr>
      <w:r>
        <w:rPr>
          <w:rFonts w:hint="eastAsia" w:ascii="宋体" w:hAnsi="宋体" w:eastAsia="宋体" w:cs="宋体"/>
          <w:szCs w:val="21"/>
        </w:rPr>
        <w:t>3.2判定原则</w:t>
      </w:r>
    </w:p>
    <w:p w14:paraId="2CB188EA">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经检验，检验项目全部合格，判定为被抽查产品所检项目未发现不合格；检验项目中任一项或一项以上不合格，判定为被抽查产品不合格。</w:t>
      </w:r>
    </w:p>
    <w:p w14:paraId="3050AA5C">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若被检产品明示的质量要求高于本细则中检验项目依据的标准要求时，应按被检产品明示的质量要求判定。</w:t>
      </w:r>
    </w:p>
    <w:p w14:paraId="3BDD1B07">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若被检产品明示的质量要求低于本细则中检验项目依据的强制性标准要求时，应按照强制性标准要求判定。</w:t>
      </w:r>
    </w:p>
    <w:p w14:paraId="30D2B24A">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若被检产品明示的质量要求低于或包含本细则中检验项目依据的推荐性标准要求时，应以被检产品明示的质量要求判定。</w:t>
      </w:r>
    </w:p>
    <w:p w14:paraId="2C8C0166">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若被检产品明示的质量要求缺少本细则中检验项目依据的强制性标准要求时，应按照强制性标准要求判定。</w:t>
      </w:r>
    </w:p>
    <w:p w14:paraId="157D56C6">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若被检产品明示的质量要求缺少本细则中检验项目依据的推荐性标准要求时，该项目不参与判定。</w:t>
      </w:r>
    </w:p>
    <w:p w14:paraId="33611541">
      <w:pPr>
        <w:keepNext w:val="0"/>
        <w:keepLines w:val="0"/>
        <w:pageBreakBefore w:val="0"/>
        <w:widowControl w:val="0"/>
        <w:kinsoku/>
        <w:wordWrap/>
        <w:overflowPunct/>
        <w:topLinePunct w:val="0"/>
        <w:autoSpaceDE/>
        <w:autoSpaceDN/>
        <w:bidi w:val="0"/>
        <w:adjustRightInd w:val="0"/>
        <w:snapToGrid w:val="0"/>
        <w:spacing w:before="161" w:beforeLines="50" w:line="440" w:lineRule="exact"/>
        <w:textAlignment w:val="auto"/>
        <w:rPr>
          <w:rFonts w:hint="eastAsia" w:ascii="宋体" w:hAnsi="宋体" w:eastAsia="宋体" w:cs="宋体"/>
          <w:szCs w:val="21"/>
        </w:rPr>
      </w:pPr>
      <w:r>
        <w:rPr>
          <w:rFonts w:hint="eastAsia" w:ascii="宋体" w:hAnsi="宋体" w:eastAsia="宋体" w:cs="宋体"/>
          <w:szCs w:val="21"/>
        </w:rPr>
        <w:t>4 附则</w:t>
      </w:r>
    </w:p>
    <w:p w14:paraId="29515D2B">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本细则由安徽省市场监督管理局管理。</w:t>
      </w: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CIDFont">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69B95">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29E0A4E8">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0E1AA">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ZWEyZDA0MTYyMmQ3ZjMwMDUwNzM5YmY5NGEwM2YifQ=="/>
  </w:docVars>
  <w:rsids>
    <w:rsidRoot w:val="00172A27"/>
    <w:rsid w:val="00001D7E"/>
    <w:rsid w:val="00012EEB"/>
    <w:rsid w:val="00051A44"/>
    <w:rsid w:val="00052092"/>
    <w:rsid w:val="000770C5"/>
    <w:rsid w:val="00081CBD"/>
    <w:rsid w:val="00085E9E"/>
    <w:rsid w:val="000976DE"/>
    <w:rsid w:val="000C27EF"/>
    <w:rsid w:val="000F2B3C"/>
    <w:rsid w:val="00172A27"/>
    <w:rsid w:val="001809DD"/>
    <w:rsid w:val="001A51E1"/>
    <w:rsid w:val="0021621A"/>
    <w:rsid w:val="00235DC4"/>
    <w:rsid w:val="00237BEE"/>
    <w:rsid w:val="00247E11"/>
    <w:rsid w:val="002501F8"/>
    <w:rsid w:val="00253624"/>
    <w:rsid w:val="002627EB"/>
    <w:rsid w:val="00275517"/>
    <w:rsid w:val="002A25C4"/>
    <w:rsid w:val="002B2F08"/>
    <w:rsid w:val="002D7F8A"/>
    <w:rsid w:val="002E0D1D"/>
    <w:rsid w:val="002E3205"/>
    <w:rsid w:val="003203A3"/>
    <w:rsid w:val="0032188F"/>
    <w:rsid w:val="003B65A7"/>
    <w:rsid w:val="003C388C"/>
    <w:rsid w:val="003D6DF1"/>
    <w:rsid w:val="003E011E"/>
    <w:rsid w:val="003E61BF"/>
    <w:rsid w:val="004349BA"/>
    <w:rsid w:val="00445E86"/>
    <w:rsid w:val="00467E74"/>
    <w:rsid w:val="00474E04"/>
    <w:rsid w:val="00483AC6"/>
    <w:rsid w:val="004962E3"/>
    <w:rsid w:val="004A0936"/>
    <w:rsid w:val="004D0C5A"/>
    <w:rsid w:val="004D4D79"/>
    <w:rsid w:val="004E112D"/>
    <w:rsid w:val="004E1396"/>
    <w:rsid w:val="004E7C02"/>
    <w:rsid w:val="00563EBC"/>
    <w:rsid w:val="00585975"/>
    <w:rsid w:val="0059238A"/>
    <w:rsid w:val="005B64D3"/>
    <w:rsid w:val="005F4CC6"/>
    <w:rsid w:val="00601FE3"/>
    <w:rsid w:val="00605C99"/>
    <w:rsid w:val="00666E54"/>
    <w:rsid w:val="006B51DF"/>
    <w:rsid w:val="006B79A8"/>
    <w:rsid w:val="006F0971"/>
    <w:rsid w:val="0072334C"/>
    <w:rsid w:val="00736DEA"/>
    <w:rsid w:val="00755136"/>
    <w:rsid w:val="00770CF5"/>
    <w:rsid w:val="007928F3"/>
    <w:rsid w:val="008139C8"/>
    <w:rsid w:val="00871617"/>
    <w:rsid w:val="00892BF7"/>
    <w:rsid w:val="00893D04"/>
    <w:rsid w:val="00895BEA"/>
    <w:rsid w:val="008A1795"/>
    <w:rsid w:val="008A3497"/>
    <w:rsid w:val="008B1BD3"/>
    <w:rsid w:val="00915713"/>
    <w:rsid w:val="00917A54"/>
    <w:rsid w:val="009249EF"/>
    <w:rsid w:val="00926C29"/>
    <w:rsid w:val="00930572"/>
    <w:rsid w:val="00935C0F"/>
    <w:rsid w:val="009865FB"/>
    <w:rsid w:val="009A204A"/>
    <w:rsid w:val="009D5E02"/>
    <w:rsid w:val="009E01DE"/>
    <w:rsid w:val="009E4DB8"/>
    <w:rsid w:val="009F7375"/>
    <w:rsid w:val="00A07E66"/>
    <w:rsid w:val="00A43553"/>
    <w:rsid w:val="00A57E7C"/>
    <w:rsid w:val="00A62E74"/>
    <w:rsid w:val="00A760C9"/>
    <w:rsid w:val="00A902CC"/>
    <w:rsid w:val="00AB28B3"/>
    <w:rsid w:val="00AD5A48"/>
    <w:rsid w:val="00AF24AF"/>
    <w:rsid w:val="00B26F77"/>
    <w:rsid w:val="00BB20FA"/>
    <w:rsid w:val="00BD6AEA"/>
    <w:rsid w:val="00BE179B"/>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B7481"/>
    <w:rsid w:val="00DC1F76"/>
    <w:rsid w:val="00DE2075"/>
    <w:rsid w:val="00E02A7F"/>
    <w:rsid w:val="00E07880"/>
    <w:rsid w:val="00E21E57"/>
    <w:rsid w:val="00E53438"/>
    <w:rsid w:val="00E647AC"/>
    <w:rsid w:val="00E82621"/>
    <w:rsid w:val="00ED4450"/>
    <w:rsid w:val="00ED5419"/>
    <w:rsid w:val="00F332B6"/>
    <w:rsid w:val="00F77C9A"/>
    <w:rsid w:val="00F86832"/>
    <w:rsid w:val="00FB576C"/>
    <w:rsid w:val="00FC6E41"/>
    <w:rsid w:val="00FD26CD"/>
    <w:rsid w:val="00FD2AA6"/>
    <w:rsid w:val="00FE7E8A"/>
    <w:rsid w:val="00FF5DCC"/>
    <w:rsid w:val="04DB46E3"/>
    <w:rsid w:val="09234C9E"/>
    <w:rsid w:val="0B976158"/>
    <w:rsid w:val="0BF3562B"/>
    <w:rsid w:val="0D261E54"/>
    <w:rsid w:val="11473DDB"/>
    <w:rsid w:val="19547818"/>
    <w:rsid w:val="19B7524A"/>
    <w:rsid w:val="1A784B4A"/>
    <w:rsid w:val="1B9113EA"/>
    <w:rsid w:val="1C240C09"/>
    <w:rsid w:val="1C543758"/>
    <w:rsid w:val="1F503858"/>
    <w:rsid w:val="21591814"/>
    <w:rsid w:val="22096B18"/>
    <w:rsid w:val="2B166DCB"/>
    <w:rsid w:val="2E3577A0"/>
    <w:rsid w:val="2F1A79DF"/>
    <w:rsid w:val="32744BE7"/>
    <w:rsid w:val="399371B9"/>
    <w:rsid w:val="3B141546"/>
    <w:rsid w:val="3D176663"/>
    <w:rsid w:val="3F9ED02C"/>
    <w:rsid w:val="424424F8"/>
    <w:rsid w:val="4A7144FF"/>
    <w:rsid w:val="4D8B1CD1"/>
    <w:rsid w:val="51862623"/>
    <w:rsid w:val="527F68D7"/>
    <w:rsid w:val="556A1533"/>
    <w:rsid w:val="56C62E6D"/>
    <w:rsid w:val="575527A0"/>
    <w:rsid w:val="5CF214D0"/>
    <w:rsid w:val="5D551C37"/>
    <w:rsid w:val="60005C4C"/>
    <w:rsid w:val="636B2161"/>
    <w:rsid w:val="6E753A97"/>
    <w:rsid w:val="73464BD7"/>
    <w:rsid w:val="742D07ED"/>
    <w:rsid w:val="74DF0804"/>
    <w:rsid w:val="7BEF7469"/>
    <w:rsid w:val="7EDB396C"/>
    <w:rsid w:val="BFB7A0DA"/>
    <w:rsid w:val="E1E78D0A"/>
    <w:rsid w:val="F7EF90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脚 Char"/>
    <w:basedOn w:val="7"/>
    <w:link w:val="4"/>
    <w:qFormat/>
    <w:uiPriority w:val="99"/>
    <w:rPr>
      <w:kern w:val="2"/>
      <w:sz w:val="18"/>
      <w:szCs w:val="18"/>
    </w:rPr>
  </w:style>
  <w:style w:type="character" w:customStyle="1" w:styleId="10">
    <w:name w:val="页眉 Char"/>
    <w:basedOn w:val="7"/>
    <w:link w:val="5"/>
    <w:semiHidden/>
    <w:qFormat/>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885</Words>
  <Characters>1368</Characters>
  <Lines>11</Lines>
  <Paragraphs>3</Paragraphs>
  <TotalTime>0</TotalTime>
  <ScaleCrop>false</ScaleCrop>
  <LinksUpToDate>false</LinksUpToDate>
  <CharactersWithSpaces>1420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2020-01-01T00:57:00Z</dcterms:created>
  <dc:creator>Legend User</dc:creator>
  <cp:lastModifiedBy>我是用剑的艺术家</cp:lastModifiedBy>
  <cp:lastPrinted>2022-02-24T16:43:00Z</cp:lastPrinted>
  <dcterms:modified xsi:type="dcterms:W3CDTF">2025-09-09T07:55:13Z</dcterms:modified>
  <dc:title>××产品质量监督抽查实施细则</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E531A88D441B4B1DAF331C954AFCCAD2_13</vt:lpwstr>
  </property>
  <property fmtid="{D5CDD505-2E9C-101B-9397-08002B2CF9AE}" pid="4" name="KSOTemplateDocerSaveRecord">
    <vt:lpwstr>eyJoZGlkIjoiZWRmZjA5MzdjNzRhNmFjNWY4NTgzNmZjYzQ3ZjI5NDciLCJ1c2VySWQiOiI0NTYzMDY1MDcifQ==</vt:lpwstr>
  </property>
</Properties>
</file>