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F33B68">
      <w:pPr>
        <w:snapToGrid w:val="0"/>
        <w:spacing w:line="580" w:lineRule="exact"/>
        <w:rPr>
          <w:rFonts w:hint="eastAsia" w:ascii="黑体" w:hAnsi="黑体" w:eastAsia="黑体" w:cs="方正小标宋_GBK"/>
          <w:color w:val="000000"/>
          <w:sz w:val="44"/>
          <w:szCs w:val="44"/>
        </w:rPr>
      </w:pPr>
    </w:p>
    <w:p w14:paraId="5FAC5612">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lang w:val="en-US" w:eastAsia="zh-CN"/>
        </w:rPr>
        <w:t>昆山市</w:t>
      </w:r>
      <w:r>
        <w:rPr>
          <w:rFonts w:hint="eastAsia" w:ascii="方正小标宋_GBK" w:hAnsi="方正小标宋_GBK" w:eastAsia="方正小标宋_GBK" w:cs="方正小标宋_GBK"/>
          <w:color w:val="000000"/>
          <w:sz w:val="44"/>
          <w:szCs w:val="44"/>
        </w:rPr>
        <w:t>机动车发动机润滑油产品质量监督抽查实施细则</w:t>
      </w:r>
    </w:p>
    <w:p w14:paraId="0AD3E890">
      <w:pPr>
        <w:snapToGrid w:val="0"/>
        <w:spacing w:line="580" w:lineRule="exact"/>
        <w:jc w:val="center"/>
        <w:rPr>
          <w:rFonts w:hint="eastAsia" w:ascii="方正小标宋_GBK" w:hAnsi="方正小标宋_GBK" w:eastAsia="方正小标宋_GBK" w:cs="方正小标宋_GBK"/>
          <w:color w:val="000000"/>
          <w:sz w:val="44"/>
          <w:szCs w:val="44"/>
        </w:rPr>
      </w:pPr>
      <w:r>
        <w:rPr>
          <w:rFonts w:hint="eastAsia" w:ascii="方正小标宋_GBK" w:hAnsi="方正小标宋_GBK" w:eastAsia="方正小标宋_GBK" w:cs="方正小标宋_GBK"/>
          <w:color w:val="000000"/>
          <w:sz w:val="44"/>
          <w:szCs w:val="44"/>
        </w:rPr>
        <w:t>（202</w:t>
      </w:r>
      <w:r>
        <w:rPr>
          <w:rFonts w:ascii="方正小标宋_GBK" w:hAnsi="方正小标宋_GBK" w:eastAsia="方正小标宋_GBK" w:cs="方正小标宋_GBK"/>
          <w:color w:val="000000"/>
          <w:sz w:val="44"/>
          <w:szCs w:val="44"/>
        </w:rPr>
        <w:t>5</w:t>
      </w:r>
      <w:r>
        <w:rPr>
          <w:rFonts w:hint="eastAsia" w:ascii="方正小标宋_GBK" w:hAnsi="方正小标宋_GBK" w:eastAsia="方正小标宋_GBK" w:cs="方正小标宋_GBK"/>
          <w:color w:val="000000"/>
          <w:sz w:val="44"/>
          <w:szCs w:val="44"/>
        </w:rPr>
        <w:t>年版）</w:t>
      </w:r>
    </w:p>
    <w:p w14:paraId="08BE7D64">
      <w:pPr>
        <w:spacing w:line="580" w:lineRule="exact"/>
        <w:jc w:val="center"/>
        <w:rPr>
          <w:rFonts w:hint="eastAsia" w:ascii="黑体" w:hAnsi="黑体" w:eastAsia="黑体" w:cs="宋体"/>
          <w:b/>
          <w:sz w:val="36"/>
          <w:szCs w:val="36"/>
        </w:rPr>
      </w:pPr>
    </w:p>
    <w:p w14:paraId="71491949">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1.范围</w:t>
      </w:r>
    </w:p>
    <w:p w14:paraId="255F127F">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本细则适用于</w:t>
      </w:r>
      <w:r>
        <w:rPr>
          <w:rFonts w:hint="eastAsia" w:ascii="方正仿宋_GBK" w:hAnsi="方正仿宋_GBK" w:eastAsia="方正仿宋_GBK" w:cs="方正仿宋_GBK"/>
          <w:sz w:val="32"/>
          <w:szCs w:val="32"/>
          <w:lang w:val="en-US" w:eastAsia="zh-CN"/>
        </w:rPr>
        <w:t>昆山市</w:t>
      </w:r>
      <w:r>
        <w:rPr>
          <w:rFonts w:hint="eastAsia" w:ascii="方正仿宋_GBK" w:hAnsi="方正仿宋_GBK" w:eastAsia="方正仿宋_GBK" w:cs="方正仿宋_GBK"/>
          <w:sz w:val="32"/>
          <w:szCs w:val="32"/>
        </w:rPr>
        <w:t>市场监督管理局组织的机动车发动机润滑油产品质量监督抽查检验。本细则规定了此产品的抽样方法、检验依据、检验项目、检验方法、判定原则、异议处理及复检。</w:t>
      </w:r>
    </w:p>
    <w:p w14:paraId="20D9EFC7">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2.抽样方法</w:t>
      </w:r>
    </w:p>
    <w:p w14:paraId="40FC5DF6">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2.1生产企业、</w:t>
      </w:r>
      <w:r>
        <w:rPr>
          <w:rFonts w:hint="eastAsia" w:ascii="方正楷体_GBK" w:hAnsi="方正楷体_GBK" w:eastAsia="方正楷体_GBK" w:cs="方正楷体_GBK"/>
          <w:b/>
          <w:bCs/>
          <w:sz w:val="32"/>
          <w:szCs w:val="32"/>
        </w:rPr>
        <w:t>实体店抽样</w:t>
      </w:r>
    </w:p>
    <w:p w14:paraId="04C12DBA">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在受检企业的成品仓库或者其确认场所，随机抽取有产品质量检验合格证明或者其他形式表明合格的待销产品，抽样基数应满足抽样要求。抽样过程均需拍照留证。一经抽样，立即封样，任何人不得调换。</w:t>
      </w:r>
    </w:p>
    <w:p w14:paraId="62E4B2D5">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bookmarkStart w:id="7" w:name="_GoBack"/>
      <w:r>
        <w:rPr>
          <w:rFonts w:hint="eastAsia" w:ascii="方正楷体_GBK" w:hAnsi="方正楷体_GBK" w:eastAsia="方正楷体_GBK" w:cs="方正楷体_GBK"/>
          <w:b/>
          <w:bCs/>
          <w:kern w:val="0"/>
          <w:sz w:val="32"/>
          <w:szCs w:val="32"/>
          <w:shd w:val="clear" w:color="auto" w:fill="FFFFFF"/>
          <w:lang w:bidi="ar"/>
        </w:rPr>
        <w:t>2.2电商平台采样</w:t>
      </w:r>
    </w:p>
    <w:bookmarkEnd w:id="7"/>
    <w:p w14:paraId="100ABCC5">
      <w:pPr>
        <w:spacing w:line="560" w:lineRule="exact"/>
        <w:ind w:firstLine="640" w:firstLineChars="200"/>
        <w:rPr>
          <w:rFonts w:hint="eastAsia" w:ascii="方正仿宋_GBK" w:hAnsi="方正仿宋_GBK" w:eastAsia="方正仿宋_GBK" w:cs="方正仿宋_GBK"/>
          <w:sz w:val="32"/>
          <w:szCs w:val="32"/>
        </w:rPr>
      </w:pPr>
      <w:r>
        <w:rPr>
          <w:rFonts w:hint="eastAsia" w:ascii="Times New Roman" w:hAnsi="Times New Roman" w:eastAsia="方正仿宋_GBK"/>
          <w:kern w:val="0"/>
          <w:sz w:val="32"/>
          <w:szCs w:val="32"/>
          <w:shd w:val="clear" w:color="auto" w:fill="FFFFFF"/>
          <w:lang w:bidi="ar"/>
        </w:rPr>
        <w:t>抽样数量</w:t>
      </w:r>
      <w:r>
        <w:rPr>
          <w:rFonts w:hint="eastAsia" w:ascii="Times New Roman" w:hAnsi="Times New Roman" w:eastAsia="方正仿宋_GBK"/>
          <w:kern w:val="0"/>
          <w:sz w:val="32"/>
          <w:szCs w:val="32"/>
          <w:shd w:val="clear" w:color="auto" w:fill="FFFFFF"/>
        </w:rPr>
        <w:t>不低于</w:t>
      </w:r>
      <w:r>
        <w:rPr>
          <w:rFonts w:hint="eastAsia" w:ascii="Times New Roman" w:hAnsi="Times New Roman" w:eastAsia="方正仿宋_GBK"/>
          <w:kern w:val="0"/>
          <w:sz w:val="32"/>
          <w:szCs w:val="32"/>
          <w:shd w:val="clear" w:color="auto" w:fill="FFFFFF"/>
          <w:lang w:val="en-US" w:eastAsia="zh-CN"/>
        </w:rPr>
        <w:t>4</w:t>
      </w:r>
      <w:r>
        <w:rPr>
          <w:rFonts w:hint="eastAsia" w:ascii="Times New Roman" w:hAnsi="Times New Roman" w:eastAsia="方正仿宋_GBK"/>
          <w:kern w:val="0"/>
          <w:sz w:val="32"/>
          <w:szCs w:val="32"/>
          <w:shd w:val="clear" w:color="auto" w:fill="FFFFFF"/>
        </w:rPr>
        <w:t>L，</w:t>
      </w:r>
      <w:r>
        <w:rPr>
          <w:rFonts w:ascii="方正仿宋_GBK" w:hAnsi="方正仿宋_GBK" w:eastAsia="方正仿宋_GBK" w:cs="方正仿宋_GBK"/>
          <w:sz w:val="32"/>
          <w:szCs w:val="32"/>
        </w:rPr>
        <w:t>平均分作两份，一份作检验样品，一份作备用样品</w:t>
      </w:r>
      <w:r>
        <w:rPr>
          <w:rFonts w:hint="eastAsia" w:ascii="方正仿宋_GBK" w:hAnsi="方正仿宋_GBK" w:eastAsia="方正仿宋_GBK" w:cs="方正仿宋_GBK"/>
          <w:sz w:val="32"/>
          <w:szCs w:val="32"/>
        </w:rPr>
        <w:t>。</w:t>
      </w:r>
    </w:p>
    <w:p w14:paraId="1F76557E">
      <w:pPr>
        <w:spacing w:line="600" w:lineRule="exact"/>
        <w:ind w:firstLine="640" w:firstLineChars="200"/>
        <w:rPr>
          <w:rFonts w:ascii="黑体" w:hAnsi="黑体" w:eastAsia="黑体"/>
          <w:sz w:val="28"/>
          <w:szCs w:val="28"/>
        </w:rPr>
      </w:pPr>
      <w:r>
        <w:rPr>
          <w:rFonts w:hint="eastAsia" w:ascii="方正黑体_GBK" w:hAnsi="方正黑体_GBK" w:eastAsia="方正黑体_GBK" w:cs="方正黑体_GBK"/>
          <w:bCs/>
          <w:sz w:val="32"/>
          <w:szCs w:val="32"/>
        </w:rPr>
        <w:t>3.检验依据</w:t>
      </w:r>
    </w:p>
    <w:p w14:paraId="2ECBA6AF">
      <w:pPr>
        <w:spacing w:line="440" w:lineRule="exact"/>
        <w:ind w:firstLine="480" w:firstLineChars="200"/>
        <w:jc w:val="center"/>
        <w:rPr>
          <w:rFonts w:hint="eastAsia" w:ascii="方正仿宋_GBK" w:hAnsi="方正仿宋_GBK" w:eastAsia="方正仿宋_GBK" w:cs="方正仿宋_GBK"/>
          <w:sz w:val="24"/>
        </w:rPr>
      </w:pPr>
      <w:r>
        <w:rPr>
          <w:rFonts w:hint="eastAsia" w:ascii="方正仿宋_GBK" w:hAnsi="方正仿宋_GBK" w:eastAsia="方正仿宋_GBK" w:cs="方正仿宋_GBK"/>
          <w:sz w:val="24"/>
        </w:rPr>
        <w:t>表1</w:t>
      </w:r>
      <w:r>
        <w:rPr>
          <w:rFonts w:ascii="方正仿宋_GBK" w:hAnsi="方正仿宋_GBK" w:eastAsia="方正仿宋_GBK" w:cs="方正仿宋_GBK"/>
          <w:sz w:val="24"/>
        </w:rPr>
        <w:t xml:space="preserve"> </w:t>
      </w:r>
      <w:r>
        <w:rPr>
          <w:rFonts w:hint="eastAsia" w:ascii="方正仿宋_GBK" w:hAnsi="方正仿宋_GBK" w:eastAsia="方正仿宋_GBK" w:cs="方正仿宋_GBK"/>
          <w:sz w:val="24"/>
        </w:rPr>
        <w:t>检验项目</w:t>
      </w:r>
    </w:p>
    <w:tbl>
      <w:tblPr>
        <w:tblStyle w:val="8"/>
        <w:tblW w:w="486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3626"/>
        <w:gridCol w:w="3667"/>
      </w:tblGrid>
      <w:tr w14:paraId="77C1B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blHeader/>
          <w:jc w:val="center"/>
        </w:trPr>
        <w:tc>
          <w:tcPr>
            <w:tcW w:w="901" w:type="pct"/>
            <w:noWrap w:val="0"/>
            <w:vAlign w:val="center"/>
          </w:tcPr>
          <w:p w14:paraId="36C6F39C">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序号</w:t>
            </w:r>
          </w:p>
        </w:tc>
        <w:tc>
          <w:tcPr>
            <w:tcW w:w="2037" w:type="pct"/>
            <w:noWrap w:val="0"/>
            <w:vAlign w:val="center"/>
          </w:tcPr>
          <w:p w14:paraId="5D3C2BE0">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检验项目</w:t>
            </w:r>
          </w:p>
        </w:tc>
        <w:tc>
          <w:tcPr>
            <w:tcW w:w="2060" w:type="pct"/>
            <w:noWrap w:val="0"/>
            <w:vAlign w:val="center"/>
          </w:tcPr>
          <w:p w14:paraId="0CF98B58">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检验方法</w:t>
            </w:r>
          </w:p>
        </w:tc>
      </w:tr>
      <w:tr w14:paraId="513AE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1" w:type="pct"/>
            <w:noWrap w:val="0"/>
            <w:vAlign w:val="center"/>
          </w:tcPr>
          <w:p w14:paraId="7FC2A30E">
            <w:pPr>
              <w:spacing w:line="300" w:lineRule="exact"/>
              <w:jc w:val="center"/>
              <w:rPr>
                <w:rFonts w:hint="eastAsia" w:ascii="方正仿宋_GBK" w:hAnsi="方正仿宋_GBK" w:eastAsia="方正仿宋_GBK" w:cs="方正仿宋_GBK"/>
                <w:sz w:val="24"/>
                <w:lang w:val="en-US" w:eastAsia="zh-CN"/>
              </w:rPr>
            </w:pPr>
            <w:bookmarkStart w:id="0" w:name="OLE_LINK8" w:colFirst="1" w:colLast="65"/>
            <w:bookmarkStart w:id="1" w:name="_Hlk193810272"/>
            <w:bookmarkStart w:id="2" w:name="OLE_LINK9" w:colFirst="1" w:colLast="65"/>
            <w:r>
              <w:rPr>
                <w:rFonts w:hint="eastAsia" w:ascii="方正仿宋_GBK" w:hAnsi="方正仿宋_GBK" w:eastAsia="方正仿宋_GBK" w:cs="方正仿宋_GBK"/>
                <w:sz w:val="24"/>
                <w:lang w:val="en-US" w:eastAsia="zh-CN"/>
              </w:rPr>
              <w:t>1</w:t>
            </w:r>
          </w:p>
        </w:tc>
        <w:tc>
          <w:tcPr>
            <w:tcW w:w="2037" w:type="pct"/>
            <w:noWrap w:val="0"/>
            <w:vAlign w:val="center"/>
          </w:tcPr>
          <w:p w14:paraId="0EC4CC8B">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低温动力黏度</w:t>
            </w:r>
          </w:p>
        </w:tc>
        <w:tc>
          <w:tcPr>
            <w:tcW w:w="2060" w:type="pct"/>
            <w:noWrap w:val="0"/>
            <w:vAlign w:val="center"/>
          </w:tcPr>
          <w:p w14:paraId="0B156BF8">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6538</w:t>
            </w:r>
            <w:r>
              <w:rPr>
                <w:rFonts w:hint="eastAsia" w:ascii="方正仿宋_GBK" w:hAnsi="方正仿宋_GBK" w:eastAsia="方正仿宋_GBK" w:cs="方正仿宋_GBK"/>
                <w:sz w:val="24"/>
              </w:rPr>
              <w:t>-</w:t>
            </w:r>
            <w:r>
              <w:rPr>
                <w:rFonts w:ascii="方正仿宋_GBK" w:hAnsi="方正仿宋_GBK" w:eastAsia="方正仿宋_GBK" w:cs="方正仿宋_GBK"/>
                <w:sz w:val="24"/>
              </w:rPr>
              <w:t>2022</w:t>
            </w:r>
          </w:p>
        </w:tc>
      </w:tr>
      <w:tr w14:paraId="6708A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1" w:type="pct"/>
            <w:noWrap w:val="0"/>
            <w:vAlign w:val="center"/>
          </w:tcPr>
          <w:p w14:paraId="58E9B03D">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2</w:t>
            </w:r>
          </w:p>
        </w:tc>
        <w:tc>
          <w:tcPr>
            <w:tcW w:w="2037" w:type="pct"/>
            <w:noWrap w:val="0"/>
            <w:vAlign w:val="center"/>
          </w:tcPr>
          <w:p w14:paraId="1BCED4D2">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运动黏度（100</w:t>
            </w:r>
            <w:r>
              <w:rPr>
                <w:rFonts w:hint="eastAsia" w:ascii="方正仿宋_GBK" w:hAnsi="方正仿宋_GBK" w:eastAsia="方正仿宋_GBK" w:cs="方正仿宋_GBK"/>
                <w:sz w:val="24"/>
              </w:rPr>
              <w:t>℃</w:t>
            </w:r>
            <w:r>
              <w:rPr>
                <w:rFonts w:ascii="方正仿宋_GBK" w:hAnsi="方正仿宋_GBK" w:eastAsia="方正仿宋_GBK" w:cs="方正仿宋_GBK"/>
                <w:sz w:val="24"/>
              </w:rPr>
              <w:t>）</w:t>
            </w:r>
          </w:p>
        </w:tc>
        <w:tc>
          <w:tcPr>
            <w:tcW w:w="2060" w:type="pct"/>
            <w:noWrap w:val="0"/>
            <w:vAlign w:val="center"/>
          </w:tcPr>
          <w:p w14:paraId="31AD78C0">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265-1988</w:t>
            </w:r>
          </w:p>
        </w:tc>
      </w:tr>
      <w:tr w14:paraId="4A056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jc w:val="center"/>
        </w:trPr>
        <w:tc>
          <w:tcPr>
            <w:tcW w:w="901" w:type="pct"/>
            <w:noWrap w:val="0"/>
            <w:vAlign w:val="center"/>
          </w:tcPr>
          <w:p w14:paraId="7CAC259A">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3</w:t>
            </w:r>
          </w:p>
        </w:tc>
        <w:tc>
          <w:tcPr>
            <w:tcW w:w="2037" w:type="pct"/>
            <w:noWrap w:val="0"/>
            <w:vAlign w:val="center"/>
          </w:tcPr>
          <w:p w14:paraId="65C7591E">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高温高剪切黏度</w:t>
            </w:r>
          </w:p>
        </w:tc>
        <w:tc>
          <w:tcPr>
            <w:tcW w:w="2060" w:type="pct"/>
            <w:noWrap w:val="0"/>
            <w:vAlign w:val="center"/>
          </w:tcPr>
          <w:p w14:paraId="66B28FCE">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NB/SH/T 0703-2020</w:t>
            </w:r>
          </w:p>
        </w:tc>
      </w:tr>
      <w:tr w14:paraId="509FE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8" w:hRule="atLeast"/>
          <w:jc w:val="center"/>
        </w:trPr>
        <w:tc>
          <w:tcPr>
            <w:tcW w:w="901" w:type="pct"/>
            <w:noWrap w:val="0"/>
            <w:vAlign w:val="center"/>
          </w:tcPr>
          <w:p w14:paraId="3F0272E6">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4</w:t>
            </w:r>
          </w:p>
        </w:tc>
        <w:tc>
          <w:tcPr>
            <w:tcW w:w="2037" w:type="pct"/>
            <w:noWrap w:val="0"/>
            <w:vAlign w:val="center"/>
          </w:tcPr>
          <w:p w14:paraId="5B456CA1">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黏度指数</w:t>
            </w:r>
          </w:p>
        </w:tc>
        <w:tc>
          <w:tcPr>
            <w:tcW w:w="2060" w:type="pct"/>
            <w:noWrap w:val="0"/>
            <w:vAlign w:val="center"/>
          </w:tcPr>
          <w:p w14:paraId="505B25A5">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1995-1998</w:t>
            </w:r>
          </w:p>
        </w:tc>
      </w:tr>
      <w:tr w14:paraId="7C73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01" w:type="pct"/>
            <w:noWrap w:val="0"/>
            <w:vAlign w:val="center"/>
          </w:tcPr>
          <w:p w14:paraId="36C5E8E9">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5</w:t>
            </w:r>
          </w:p>
        </w:tc>
        <w:tc>
          <w:tcPr>
            <w:tcW w:w="2037" w:type="pct"/>
            <w:noWrap w:val="0"/>
            <w:vAlign w:val="center"/>
          </w:tcPr>
          <w:p w14:paraId="2A8996AB">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倾点</w:t>
            </w:r>
          </w:p>
        </w:tc>
        <w:tc>
          <w:tcPr>
            <w:tcW w:w="2060" w:type="pct"/>
            <w:noWrap w:val="0"/>
            <w:vAlign w:val="center"/>
          </w:tcPr>
          <w:p w14:paraId="54FED73C">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3535-2006</w:t>
            </w:r>
          </w:p>
        </w:tc>
      </w:tr>
      <w:tr w14:paraId="4A6D6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901" w:type="pct"/>
            <w:noWrap w:val="0"/>
            <w:vAlign w:val="center"/>
          </w:tcPr>
          <w:p w14:paraId="506A0A42">
            <w:pPr>
              <w:spacing w:line="300" w:lineRule="exact"/>
              <w:jc w:val="center"/>
              <w:rPr>
                <w:rFonts w:hint="eastAsia" w:ascii="方正仿宋_GBK" w:hAnsi="方正仿宋_GBK" w:eastAsia="方正仿宋_GBK" w:cs="方正仿宋_GBK"/>
                <w:sz w:val="24"/>
                <w:lang w:val="en-US" w:eastAsia="zh-CN"/>
              </w:rPr>
            </w:pPr>
            <w:r>
              <w:rPr>
                <w:rFonts w:hint="eastAsia" w:ascii="方正仿宋_GBK" w:hAnsi="方正仿宋_GBK" w:eastAsia="方正仿宋_GBK" w:cs="方正仿宋_GBK"/>
                <w:sz w:val="24"/>
                <w:lang w:val="en-US" w:eastAsia="zh-CN"/>
              </w:rPr>
              <w:t>6</w:t>
            </w:r>
          </w:p>
        </w:tc>
        <w:tc>
          <w:tcPr>
            <w:tcW w:w="2037" w:type="pct"/>
            <w:noWrap w:val="0"/>
            <w:vAlign w:val="center"/>
          </w:tcPr>
          <w:p w14:paraId="7BA63E89">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泡沫性</w:t>
            </w:r>
          </w:p>
        </w:tc>
        <w:tc>
          <w:tcPr>
            <w:tcW w:w="2060" w:type="pct"/>
            <w:noWrap w:val="0"/>
            <w:vAlign w:val="center"/>
          </w:tcPr>
          <w:p w14:paraId="1D30ECB8">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GB/T 12579-2002</w:t>
            </w:r>
          </w:p>
          <w:p w14:paraId="7C50E431">
            <w:pPr>
              <w:spacing w:line="300" w:lineRule="exact"/>
              <w:jc w:val="center"/>
              <w:rPr>
                <w:rFonts w:ascii="方正仿宋_GBK" w:hAnsi="方正仿宋_GBK" w:eastAsia="方正仿宋_GBK" w:cs="方正仿宋_GBK"/>
                <w:sz w:val="24"/>
              </w:rPr>
            </w:pPr>
            <w:r>
              <w:rPr>
                <w:rFonts w:ascii="方正仿宋_GBK" w:hAnsi="方正仿宋_GBK" w:eastAsia="方正仿宋_GBK" w:cs="方正仿宋_GBK"/>
                <w:sz w:val="24"/>
              </w:rPr>
              <w:t>SH/T 0722-2002</w:t>
            </w:r>
          </w:p>
        </w:tc>
      </w:tr>
      <w:bookmarkEnd w:id="0"/>
      <w:bookmarkEnd w:id="1"/>
      <w:bookmarkEnd w:id="2"/>
    </w:tbl>
    <w:p w14:paraId="6C9FD2BB">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执行企业标准、团体标准、地方标准的产品，检验项目参照上述内容执行。</w:t>
      </w:r>
    </w:p>
    <w:p w14:paraId="2CABCEFE">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凡是注日期的文件，其随后所有的修改单（不包括勘误的内容）或修订版不适用于本细则。凡是不注日期的文件，其最新版本适用于本细则。</w:t>
      </w:r>
    </w:p>
    <w:p w14:paraId="7CE766E3">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4.判定规则</w:t>
      </w:r>
    </w:p>
    <w:p w14:paraId="73D3ADC2">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4.1依据标准</w:t>
      </w:r>
    </w:p>
    <w:p w14:paraId="3569112A">
      <w:pPr>
        <w:spacing w:line="560" w:lineRule="exact"/>
        <w:ind w:firstLine="640" w:firstLineChars="200"/>
        <w:rPr>
          <w:rFonts w:ascii="方正仿宋_GBK" w:hAnsi="方正仿宋_GBK" w:eastAsia="方正仿宋_GBK" w:cs="方正仿宋_GBK"/>
          <w:sz w:val="32"/>
          <w:szCs w:val="32"/>
        </w:rPr>
      </w:pPr>
      <w:bookmarkStart w:id="3" w:name="OLE_LINK11"/>
      <w:bookmarkStart w:id="4" w:name="OLE_LINK10"/>
      <w:bookmarkStart w:id="5" w:name="OLE_LINK13"/>
      <w:bookmarkStart w:id="6" w:name="OLE_LINK12"/>
      <w:r>
        <w:rPr>
          <w:rFonts w:ascii="方正仿宋_GBK" w:hAnsi="方正仿宋_GBK" w:eastAsia="方正仿宋_GBK" w:cs="方正仿宋_GBK"/>
          <w:sz w:val="32"/>
          <w:szCs w:val="32"/>
        </w:rPr>
        <w:t>GB 11121-2006</w:t>
      </w:r>
      <w:bookmarkEnd w:id="3"/>
      <w:bookmarkEnd w:id="4"/>
      <w:r>
        <w:rPr>
          <w:rFonts w:ascii="方正仿宋_GBK" w:hAnsi="方正仿宋_GBK" w:eastAsia="方正仿宋_GBK" w:cs="方正仿宋_GBK"/>
          <w:sz w:val="32"/>
          <w:szCs w:val="32"/>
        </w:rPr>
        <w:t xml:space="preserve"> 《汽油机油》</w:t>
      </w:r>
    </w:p>
    <w:p w14:paraId="6A51D3FE">
      <w:pPr>
        <w:spacing w:line="560" w:lineRule="exact"/>
        <w:ind w:firstLine="640" w:firstLineChars="200"/>
        <w:rPr>
          <w:rFonts w:ascii="方正仿宋_GBK" w:hAnsi="方正仿宋_GBK" w:eastAsia="方正仿宋_GBK" w:cs="方正仿宋_GBK"/>
          <w:sz w:val="32"/>
          <w:szCs w:val="32"/>
        </w:rPr>
      </w:pPr>
      <w:r>
        <w:rPr>
          <w:rFonts w:ascii="方正仿宋_GBK" w:hAnsi="方正仿宋_GBK" w:eastAsia="方正仿宋_GBK" w:cs="方正仿宋_GBK"/>
          <w:sz w:val="32"/>
          <w:szCs w:val="32"/>
        </w:rPr>
        <w:t>GB 11122-2006</w:t>
      </w:r>
      <w:r>
        <w:rPr>
          <w:rFonts w:hint="eastAsia" w:ascii="方正仿宋_GBK" w:hAnsi="方正仿宋_GBK" w:eastAsia="方正仿宋_GBK" w:cs="方正仿宋_GBK"/>
          <w:sz w:val="32"/>
          <w:szCs w:val="32"/>
        </w:rPr>
        <w:t xml:space="preserve"> </w:t>
      </w:r>
      <w:r>
        <w:rPr>
          <w:rFonts w:ascii="方正仿宋_GBK" w:hAnsi="方正仿宋_GBK" w:eastAsia="方正仿宋_GBK" w:cs="方正仿宋_GBK"/>
          <w:sz w:val="32"/>
          <w:szCs w:val="32"/>
        </w:rPr>
        <w:t>《柴油机油》</w:t>
      </w:r>
      <w:bookmarkEnd w:id="5"/>
      <w:bookmarkEnd w:id="6"/>
      <w:r>
        <w:rPr>
          <w:rFonts w:ascii="方正仿宋_GBK" w:hAnsi="方正仿宋_GBK" w:eastAsia="方正仿宋_GBK" w:cs="方正仿宋_GBK"/>
          <w:sz w:val="32"/>
          <w:szCs w:val="32"/>
        </w:rPr>
        <w:t xml:space="preserve"> </w:t>
      </w:r>
    </w:p>
    <w:p w14:paraId="02A00972">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现行有效的企业标准、团体标准、地方标准及产品明示质量要求</w:t>
      </w:r>
    </w:p>
    <w:p w14:paraId="1BDBA292">
      <w:pPr>
        <w:spacing w:line="580" w:lineRule="exact"/>
        <w:ind w:firstLine="643" w:firstLineChars="200"/>
        <w:rPr>
          <w:rFonts w:hint="eastAsia" w:ascii="方正楷体_GBK" w:hAnsi="方正楷体_GBK" w:eastAsia="方正楷体_GBK" w:cs="方正楷体_GBK"/>
          <w:b/>
          <w:bCs/>
          <w:kern w:val="0"/>
          <w:sz w:val="32"/>
          <w:szCs w:val="32"/>
          <w:shd w:val="clear" w:color="auto" w:fill="FFFFFF"/>
          <w:lang w:bidi="ar"/>
        </w:rPr>
      </w:pPr>
      <w:r>
        <w:rPr>
          <w:rFonts w:hint="eastAsia" w:ascii="方正楷体_GBK" w:hAnsi="方正楷体_GBK" w:eastAsia="方正楷体_GBK" w:cs="方正楷体_GBK"/>
          <w:b/>
          <w:bCs/>
          <w:kern w:val="0"/>
          <w:sz w:val="32"/>
          <w:szCs w:val="32"/>
          <w:shd w:val="clear" w:color="auto" w:fill="FFFFFF"/>
          <w:lang w:bidi="ar"/>
        </w:rPr>
        <w:t>4.2判定原则</w:t>
      </w:r>
    </w:p>
    <w:p w14:paraId="305E184E">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经检验，检验项目全部合格，判定为被抽查产品所检项目未发现不合格；检验项目中任一项或一项以上不合格，判定为被抽查产品不合格。</w:t>
      </w:r>
    </w:p>
    <w:p w14:paraId="16B7C333">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若被检产品明示的质量要求高于本细则中检验项目依据的标准要求时，应按被检产品明示的质量要求判定。</w:t>
      </w:r>
    </w:p>
    <w:p w14:paraId="7BFE7547">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若被检产品明示的质量要求低于本细则中检验项目依据的强制性标准要求时，应按照强制性标准要求判定。</w:t>
      </w:r>
    </w:p>
    <w:p w14:paraId="0FEB826B">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若被检产品明示的质量要求低于或包含本细则中检验项目依据的推荐性标准要求时，应以被检产品明示的质量要求判定。</w:t>
      </w:r>
    </w:p>
    <w:p w14:paraId="0F9E19D2">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若被检产品明示的质量要求缺少本细则中检验项目依据的强制性标准要求时，应按照强制性标准要求判定。</w:t>
      </w:r>
    </w:p>
    <w:p w14:paraId="01DCF200">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若被检产品明示的质量要求缺少本细则中检验项目依据的推荐性标准要求时，该项目不参与判定。</w:t>
      </w:r>
    </w:p>
    <w:p w14:paraId="1319BA52">
      <w:pPr>
        <w:spacing w:line="600" w:lineRule="exact"/>
        <w:ind w:firstLine="640" w:firstLineChars="200"/>
        <w:rPr>
          <w:rFonts w:hint="eastAsia" w:ascii="方正黑体_GBK" w:hAnsi="方正黑体_GBK" w:eastAsia="方正黑体_GBK" w:cs="方正黑体_GBK"/>
          <w:bCs/>
          <w:sz w:val="32"/>
          <w:szCs w:val="32"/>
        </w:rPr>
      </w:pPr>
      <w:r>
        <w:rPr>
          <w:rFonts w:hint="eastAsia" w:ascii="方正黑体_GBK" w:hAnsi="方正黑体_GBK" w:eastAsia="方正黑体_GBK" w:cs="方正黑体_GBK"/>
          <w:bCs/>
          <w:sz w:val="32"/>
          <w:szCs w:val="32"/>
        </w:rPr>
        <w:t>5.异议处理及复检</w:t>
      </w:r>
    </w:p>
    <w:p w14:paraId="6562E515">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5.1对监督抽查程序有异议的，由任务下达部门核查相关证据后维持或者撤销原检验结果。</w:t>
      </w:r>
    </w:p>
    <w:p w14:paraId="779AB351">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5.2对检验结果有异议的，任务下达部门核查相关证据，能够证明原检验结果准确的，维持原检验结果；不能证明原检验结果准确，需要进行复检的，由任务下达部门指定复检机构进行复检，复检结果为本次监督抽查最终结论。</w:t>
      </w:r>
    </w:p>
    <w:p w14:paraId="41120145">
      <w:pPr>
        <w:spacing w:line="56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5.3对样品信息有异议的，任务下达部门核查样品确认情况和生产企业提交证明材料后，维持或者撤销原检验结果。</w:t>
      </w:r>
    </w:p>
    <w:sectPr>
      <w:pgSz w:w="11906" w:h="16838"/>
      <w:pgMar w:top="1440" w:right="1463" w:bottom="1440" w:left="1519"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F64E5ED-B62D-46CC-AF2A-F527F5751D0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方正小标宋_GBK">
    <w:panose1 w:val="02000000000000000000"/>
    <w:charset w:val="86"/>
    <w:family w:val="script"/>
    <w:pitch w:val="default"/>
    <w:sig w:usb0="A00002BF" w:usb1="38CF7CFA" w:usb2="00082016" w:usb3="00000000" w:csb0="00040001" w:csb1="00000000"/>
    <w:embedRegular r:id="rId2" w:fontKey="{7ACB029E-5972-411F-8B6A-D2842E9D44FA}"/>
  </w:font>
  <w:font w:name="方正黑体_GBK">
    <w:altName w:val="方正黑体_GBK"/>
    <w:panose1 w:val="02010600010101010101"/>
    <w:charset w:val="86"/>
    <w:family w:val="script"/>
    <w:pitch w:val="default"/>
    <w:sig w:usb0="00000001" w:usb1="080E0000" w:usb2="00000000" w:usb3="00000000" w:csb0="00040000" w:csb1="00000000"/>
    <w:embedRegular r:id="rId3" w:fontKey="{BCABF51F-3F0F-4185-812E-1A54A9082EC2}"/>
  </w:font>
  <w:font w:name="微软雅黑">
    <w:panose1 w:val="020B0503020204020204"/>
    <w:charset w:val="86"/>
    <w:family w:val="auto"/>
    <w:pitch w:val="default"/>
    <w:sig w:usb0="80000287" w:usb1="2ACF3C50" w:usb2="00000016" w:usb3="00000000" w:csb0="0004001F" w:csb1="00000000"/>
  </w:font>
  <w:font w:name="方正仿宋_GBK">
    <w:panose1 w:val="02000000000000000000"/>
    <w:charset w:val="86"/>
    <w:family w:val="script"/>
    <w:pitch w:val="default"/>
    <w:sig w:usb0="A00002BF" w:usb1="38CF7CFA" w:usb2="00082016" w:usb3="00000000" w:csb0="00040001" w:csb1="00000000"/>
    <w:embedRegular r:id="rId4" w:fontKey="{2D4C244D-358D-44B5-899C-C5D068A69A99}"/>
  </w:font>
  <w:font w:name="方正楷体_GBK">
    <w:altName w:val="方正楷体_GBK"/>
    <w:panose1 w:val="02000000000000000000"/>
    <w:charset w:val="86"/>
    <w:family w:val="auto"/>
    <w:pitch w:val="default"/>
    <w:sig w:usb0="800002BF" w:usb1="38CF7CFA" w:usb2="00000016" w:usb3="00000000" w:csb0="00040000" w:csb1="00000000"/>
    <w:embedRegular r:id="rId5" w:fontKey="{0668CA7B-2BED-451F-9F88-52AA9415C16F}"/>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6"/>
    <w:multiLevelType w:val="multilevel"/>
    <w:tmpl w:val="00000006"/>
    <w:lvl w:ilvl="0" w:tentative="0">
      <w:start w:val="1"/>
      <w:numFmt w:val="chineseCountingThousand"/>
      <w:suff w:val="nothing"/>
      <w:lvlText w:val="第%1章"/>
      <w:lvlJc w:val="left"/>
      <w:pPr>
        <w:ind w:left="-70"/>
      </w:pPr>
    </w:lvl>
    <w:lvl w:ilvl="1" w:tentative="0">
      <w:start w:val="1"/>
      <w:numFmt w:val="none"/>
      <w:suff w:val="nothing"/>
      <w:lvlText w:val=""/>
      <w:lvlJc w:val="left"/>
    </w:lvl>
    <w:lvl w:ilvl="2" w:tentative="0">
      <w:start w:val="1"/>
      <w:numFmt w:val="none"/>
      <w:suff w:val="nothing"/>
      <w:lvlText w:val=""/>
      <w:lvlJc w:val="left"/>
    </w:lvl>
    <w:lvl w:ilvl="3" w:tentative="0">
      <w:start w:val="1"/>
      <w:numFmt w:val="none"/>
      <w:pStyle w:val="2"/>
      <w:suff w:val="nothing"/>
      <w:lvlText w:val=""/>
      <w:lvlJc w:val="left"/>
    </w:lvl>
    <w:lvl w:ilvl="4" w:tentative="0">
      <w:start w:val="1"/>
      <w:numFmt w:val="none"/>
      <w:suff w:val="nothing"/>
      <w:lvlText w:val=""/>
      <w:lvlJc w:val="left"/>
    </w:lvl>
    <w:lvl w:ilvl="5" w:tentative="0">
      <w:start w:val="1"/>
      <w:numFmt w:val="none"/>
      <w:suff w:val="nothing"/>
      <w:lvlText w:val=""/>
      <w:lvlJc w:val="left"/>
    </w:lvl>
    <w:lvl w:ilvl="6" w:tentative="0">
      <w:start w:val="1"/>
      <w:numFmt w:val="none"/>
      <w:suff w:val="nothing"/>
      <w:lvlText w:val=""/>
      <w:lvlJc w:val="left"/>
    </w:lvl>
    <w:lvl w:ilvl="7" w:tentative="0">
      <w:start w:val="1"/>
      <w:numFmt w:val="none"/>
      <w:suff w:val="nothing"/>
      <w:lvlText w:val=""/>
      <w:lvlJc w:val="left"/>
    </w:lvl>
    <w:lvl w:ilvl="8" w:tentative="0">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FlZjk5MjdmMGRlZTExMjUzZjJiYzIwNjJlMzhkMjQifQ=="/>
  </w:docVars>
  <w:rsids>
    <w:rsidRoot w:val="00B23319"/>
    <w:rsid w:val="0001130B"/>
    <w:rsid w:val="0002244E"/>
    <w:rsid w:val="00030067"/>
    <w:rsid w:val="00030FC7"/>
    <w:rsid w:val="00040DF0"/>
    <w:rsid w:val="00041807"/>
    <w:rsid w:val="0004210C"/>
    <w:rsid w:val="00046ACB"/>
    <w:rsid w:val="0005070C"/>
    <w:rsid w:val="00054A03"/>
    <w:rsid w:val="000607FF"/>
    <w:rsid w:val="00062664"/>
    <w:rsid w:val="00063F1E"/>
    <w:rsid w:val="0006746D"/>
    <w:rsid w:val="00067F88"/>
    <w:rsid w:val="00072AAC"/>
    <w:rsid w:val="00076376"/>
    <w:rsid w:val="000846B5"/>
    <w:rsid w:val="00086D33"/>
    <w:rsid w:val="00094AB9"/>
    <w:rsid w:val="000A01F1"/>
    <w:rsid w:val="000A22D6"/>
    <w:rsid w:val="000B45BF"/>
    <w:rsid w:val="000C46FA"/>
    <w:rsid w:val="000E28CD"/>
    <w:rsid w:val="000F0C7B"/>
    <w:rsid w:val="00127D80"/>
    <w:rsid w:val="00127E6B"/>
    <w:rsid w:val="00131787"/>
    <w:rsid w:val="001331D2"/>
    <w:rsid w:val="00134B9F"/>
    <w:rsid w:val="001361E2"/>
    <w:rsid w:val="00136EFA"/>
    <w:rsid w:val="00145921"/>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4334D"/>
    <w:rsid w:val="0025037B"/>
    <w:rsid w:val="00252341"/>
    <w:rsid w:val="0026236F"/>
    <w:rsid w:val="0026368E"/>
    <w:rsid w:val="00270494"/>
    <w:rsid w:val="00282FA6"/>
    <w:rsid w:val="0028328A"/>
    <w:rsid w:val="002B6690"/>
    <w:rsid w:val="002C194B"/>
    <w:rsid w:val="002C1983"/>
    <w:rsid w:val="002D171E"/>
    <w:rsid w:val="002D1E2B"/>
    <w:rsid w:val="002D4B27"/>
    <w:rsid w:val="0031024B"/>
    <w:rsid w:val="0031094B"/>
    <w:rsid w:val="00323B78"/>
    <w:rsid w:val="00330047"/>
    <w:rsid w:val="00335B99"/>
    <w:rsid w:val="00341E80"/>
    <w:rsid w:val="0035079C"/>
    <w:rsid w:val="003575C3"/>
    <w:rsid w:val="003656B5"/>
    <w:rsid w:val="00384FD0"/>
    <w:rsid w:val="00391F14"/>
    <w:rsid w:val="003936D8"/>
    <w:rsid w:val="003A2DF8"/>
    <w:rsid w:val="003A351C"/>
    <w:rsid w:val="003C1F18"/>
    <w:rsid w:val="003D28D3"/>
    <w:rsid w:val="003D593E"/>
    <w:rsid w:val="003D7ED4"/>
    <w:rsid w:val="003F3213"/>
    <w:rsid w:val="003F7F67"/>
    <w:rsid w:val="00434879"/>
    <w:rsid w:val="00436027"/>
    <w:rsid w:val="00446525"/>
    <w:rsid w:val="0045292F"/>
    <w:rsid w:val="00452A6F"/>
    <w:rsid w:val="004550E4"/>
    <w:rsid w:val="004574F0"/>
    <w:rsid w:val="00457CB9"/>
    <w:rsid w:val="00460692"/>
    <w:rsid w:val="004638DB"/>
    <w:rsid w:val="00466033"/>
    <w:rsid w:val="00476965"/>
    <w:rsid w:val="00482674"/>
    <w:rsid w:val="00486BD9"/>
    <w:rsid w:val="00486F04"/>
    <w:rsid w:val="004907A3"/>
    <w:rsid w:val="004A3289"/>
    <w:rsid w:val="004C036D"/>
    <w:rsid w:val="004C1FB2"/>
    <w:rsid w:val="004D2E64"/>
    <w:rsid w:val="00516AF9"/>
    <w:rsid w:val="0051770F"/>
    <w:rsid w:val="00521A71"/>
    <w:rsid w:val="00525B6D"/>
    <w:rsid w:val="00532175"/>
    <w:rsid w:val="00537C80"/>
    <w:rsid w:val="00552CE9"/>
    <w:rsid w:val="00553599"/>
    <w:rsid w:val="00557E0B"/>
    <w:rsid w:val="00567E85"/>
    <w:rsid w:val="005758F0"/>
    <w:rsid w:val="00580258"/>
    <w:rsid w:val="00581383"/>
    <w:rsid w:val="005870E0"/>
    <w:rsid w:val="00592F1E"/>
    <w:rsid w:val="005953F6"/>
    <w:rsid w:val="005A3B63"/>
    <w:rsid w:val="005B4050"/>
    <w:rsid w:val="005C0BFD"/>
    <w:rsid w:val="005D5758"/>
    <w:rsid w:val="005E06BA"/>
    <w:rsid w:val="005E3523"/>
    <w:rsid w:val="005E4D8D"/>
    <w:rsid w:val="00602BFE"/>
    <w:rsid w:val="00610A6A"/>
    <w:rsid w:val="0061344B"/>
    <w:rsid w:val="00626AD4"/>
    <w:rsid w:val="006361EE"/>
    <w:rsid w:val="00640709"/>
    <w:rsid w:val="00651C73"/>
    <w:rsid w:val="006538E9"/>
    <w:rsid w:val="006603B0"/>
    <w:rsid w:val="0067557E"/>
    <w:rsid w:val="006812CD"/>
    <w:rsid w:val="00685DA2"/>
    <w:rsid w:val="0068716B"/>
    <w:rsid w:val="006A2161"/>
    <w:rsid w:val="006A2B73"/>
    <w:rsid w:val="006A6E27"/>
    <w:rsid w:val="006A7525"/>
    <w:rsid w:val="006B7F21"/>
    <w:rsid w:val="006C019C"/>
    <w:rsid w:val="006D4694"/>
    <w:rsid w:val="006D60CF"/>
    <w:rsid w:val="006E1245"/>
    <w:rsid w:val="006E6C9F"/>
    <w:rsid w:val="006F6A29"/>
    <w:rsid w:val="006F7E16"/>
    <w:rsid w:val="0070590B"/>
    <w:rsid w:val="0070673A"/>
    <w:rsid w:val="0071192F"/>
    <w:rsid w:val="00713D13"/>
    <w:rsid w:val="00714032"/>
    <w:rsid w:val="007225D8"/>
    <w:rsid w:val="00723BDE"/>
    <w:rsid w:val="00725CAC"/>
    <w:rsid w:val="00737577"/>
    <w:rsid w:val="00747916"/>
    <w:rsid w:val="007812FC"/>
    <w:rsid w:val="00781A96"/>
    <w:rsid w:val="007916D5"/>
    <w:rsid w:val="00791FF2"/>
    <w:rsid w:val="007A2F04"/>
    <w:rsid w:val="007A3D31"/>
    <w:rsid w:val="007C2D64"/>
    <w:rsid w:val="007D0F61"/>
    <w:rsid w:val="007D59FD"/>
    <w:rsid w:val="007D6664"/>
    <w:rsid w:val="007E30C2"/>
    <w:rsid w:val="007F544A"/>
    <w:rsid w:val="008010F8"/>
    <w:rsid w:val="0081590F"/>
    <w:rsid w:val="008175E3"/>
    <w:rsid w:val="00825D64"/>
    <w:rsid w:val="00827D95"/>
    <w:rsid w:val="00836118"/>
    <w:rsid w:val="00837AFB"/>
    <w:rsid w:val="00845D00"/>
    <w:rsid w:val="00850F4A"/>
    <w:rsid w:val="0085178A"/>
    <w:rsid w:val="00860298"/>
    <w:rsid w:val="00873CEB"/>
    <w:rsid w:val="008767BE"/>
    <w:rsid w:val="00885003"/>
    <w:rsid w:val="00887355"/>
    <w:rsid w:val="00894EC2"/>
    <w:rsid w:val="0089545E"/>
    <w:rsid w:val="008976ED"/>
    <w:rsid w:val="008A009F"/>
    <w:rsid w:val="008C62D3"/>
    <w:rsid w:val="008D0104"/>
    <w:rsid w:val="008D033A"/>
    <w:rsid w:val="008E0704"/>
    <w:rsid w:val="008E788F"/>
    <w:rsid w:val="008F4395"/>
    <w:rsid w:val="0090547C"/>
    <w:rsid w:val="00906501"/>
    <w:rsid w:val="00911B05"/>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0661B"/>
    <w:rsid w:val="00A23E55"/>
    <w:rsid w:val="00A40F2C"/>
    <w:rsid w:val="00A5051A"/>
    <w:rsid w:val="00A72C03"/>
    <w:rsid w:val="00A81E4D"/>
    <w:rsid w:val="00A85146"/>
    <w:rsid w:val="00A90564"/>
    <w:rsid w:val="00A91BE3"/>
    <w:rsid w:val="00AA61A4"/>
    <w:rsid w:val="00AB2A2A"/>
    <w:rsid w:val="00AB4E2D"/>
    <w:rsid w:val="00AB75DF"/>
    <w:rsid w:val="00AD05AC"/>
    <w:rsid w:val="00AD76F5"/>
    <w:rsid w:val="00AE1EFC"/>
    <w:rsid w:val="00AE32F2"/>
    <w:rsid w:val="00AF0C1E"/>
    <w:rsid w:val="00AF64D5"/>
    <w:rsid w:val="00B061D5"/>
    <w:rsid w:val="00B11192"/>
    <w:rsid w:val="00B143B9"/>
    <w:rsid w:val="00B148B2"/>
    <w:rsid w:val="00B20E1F"/>
    <w:rsid w:val="00B23319"/>
    <w:rsid w:val="00B35AFF"/>
    <w:rsid w:val="00B41EE8"/>
    <w:rsid w:val="00B43E44"/>
    <w:rsid w:val="00B4594E"/>
    <w:rsid w:val="00B6292E"/>
    <w:rsid w:val="00B63EDE"/>
    <w:rsid w:val="00B75878"/>
    <w:rsid w:val="00B8300A"/>
    <w:rsid w:val="00B90C0D"/>
    <w:rsid w:val="00B970C1"/>
    <w:rsid w:val="00B97715"/>
    <w:rsid w:val="00B978B8"/>
    <w:rsid w:val="00BA6DE6"/>
    <w:rsid w:val="00BC0D6A"/>
    <w:rsid w:val="00BD57C2"/>
    <w:rsid w:val="00BE2857"/>
    <w:rsid w:val="00BE4300"/>
    <w:rsid w:val="00BF6E4B"/>
    <w:rsid w:val="00BF775B"/>
    <w:rsid w:val="00C10D63"/>
    <w:rsid w:val="00C152A4"/>
    <w:rsid w:val="00C2380B"/>
    <w:rsid w:val="00C26DF9"/>
    <w:rsid w:val="00C32493"/>
    <w:rsid w:val="00C5064B"/>
    <w:rsid w:val="00C56445"/>
    <w:rsid w:val="00C606CA"/>
    <w:rsid w:val="00C630B8"/>
    <w:rsid w:val="00C65F3B"/>
    <w:rsid w:val="00C6632F"/>
    <w:rsid w:val="00C66E77"/>
    <w:rsid w:val="00C729E0"/>
    <w:rsid w:val="00C81BDA"/>
    <w:rsid w:val="00C86069"/>
    <w:rsid w:val="00C87AA0"/>
    <w:rsid w:val="00C9481E"/>
    <w:rsid w:val="00CA2460"/>
    <w:rsid w:val="00CA5F16"/>
    <w:rsid w:val="00CB1737"/>
    <w:rsid w:val="00CB493A"/>
    <w:rsid w:val="00CC4233"/>
    <w:rsid w:val="00CC4784"/>
    <w:rsid w:val="00CC6522"/>
    <w:rsid w:val="00CD106B"/>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A6AE4"/>
    <w:rsid w:val="00DE3929"/>
    <w:rsid w:val="00E20638"/>
    <w:rsid w:val="00E20692"/>
    <w:rsid w:val="00E23FB4"/>
    <w:rsid w:val="00E272CE"/>
    <w:rsid w:val="00E30472"/>
    <w:rsid w:val="00E518C3"/>
    <w:rsid w:val="00E53A97"/>
    <w:rsid w:val="00E54496"/>
    <w:rsid w:val="00E74E6E"/>
    <w:rsid w:val="00E8032B"/>
    <w:rsid w:val="00E82782"/>
    <w:rsid w:val="00E83123"/>
    <w:rsid w:val="00E93A64"/>
    <w:rsid w:val="00E96E83"/>
    <w:rsid w:val="00EA13D3"/>
    <w:rsid w:val="00EB00C7"/>
    <w:rsid w:val="00EE2AA1"/>
    <w:rsid w:val="00EF5F33"/>
    <w:rsid w:val="00F05D31"/>
    <w:rsid w:val="00F10DCD"/>
    <w:rsid w:val="00F14F1F"/>
    <w:rsid w:val="00F16DF8"/>
    <w:rsid w:val="00F20A60"/>
    <w:rsid w:val="00F21761"/>
    <w:rsid w:val="00F24352"/>
    <w:rsid w:val="00F269EA"/>
    <w:rsid w:val="00F71EF0"/>
    <w:rsid w:val="00F8746A"/>
    <w:rsid w:val="00F964CB"/>
    <w:rsid w:val="00FA1644"/>
    <w:rsid w:val="00FB4044"/>
    <w:rsid w:val="00FB491F"/>
    <w:rsid w:val="00FB4A92"/>
    <w:rsid w:val="00FB76A5"/>
    <w:rsid w:val="00FC55FE"/>
    <w:rsid w:val="00FC5A64"/>
    <w:rsid w:val="00FD5FFF"/>
    <w:rsid w:val="00FE12A1"/>
    <w:rsid w:val="00FF0ECF"/>
    <w:rsid w:val="00FF2EF5"/>
    <w:rsid w:val="00FF6D5D"/>
    <w:rsid w:val="016533AB"/>
    <w:rsid w:val="017066A4"/>
    <w:rsid w:val="01AF66F5"/>
    <w:rsid w:val="01D733CC"/>
    <w:rsid w:val="01ED3C51"/>
    <w:rsid w:val="020A50C9"/>
    <w:rsid w:val="02693A80"/>
    <w:rsid w:val="02B37899"/>
    <w:rsid w:val="02BB77E4"/>
    <w:rsid w:val="03776577"/>
    <w:rsid w:val="04205B7A"/>
    <w:rsid w:val="04C6640E"/>
    <w:rsid w:val="04E162DB"/>
    <w:rsid w:val="056836DC"/>
    <w:rsid w:val="056B55C9"/>
    <w:rsid w:val="057847EE"/>
    <w:rsid w:val="065C6843"/>
    <w:rsid w:val="06DA5E26"/>
    <w:rsid w:val="07103966"/>
    <w:rsid w:val="0806125E"/>
    <w:rsid w:val="08414162"/>
    <w:rsid w:val="095538B5"/>
    <w:rsid w:val="0A0D1476"/>
    <w:rsid w:val="0A721AE4"/>
    <w:rsid w:val="0AB55C23"/>
    <w:rsid w:val="0B0D6838"/>
    <w:rsid w:val="0B7E733B"/>
    <w:rsid w:val="0BB258C6"/>
    <w:rsid w:val="0C300AF9"/>
    <w:rsid w:val="0E8E25DA"/>
    <w:rsid w:val="0E916078"/>
    <w:rsid w:val="0EDD5800"/>
    <w:rsid w:val="10356DF2"/>
    <w:rsid w:val="108D33E7"/>
    <w:rsid w:val="10EE044E"/>
    <w:rsid w:val="11A05BB5"/>
    <w:rsid w:val="11CA7BFF"/>
    <w:rsid w:val="12197CB0"/>
    <w:rsid w:val="121B5F5C"/>
    <w:rsid w:val="12480A15"/>
    <w:rsid w:val="12F93CA3"/>
    <w:rsid w:val="130D213D"/>
    <w:rsid w:val="137A6790"/>
    <w:rsid w:val="13BB0BE6"/>
    <w:rsid w:val="14987A16"/>
    <w:rsid w:val="149B6BF0"/>
    <w:rsid w:val="14E1570A"/>
    <w:rsid w:val="15705885"/>
    <w:rsid w:val="15A93B45"/>
    <w:rsid w:val="1670520E"/>
    <w:rsid w:val="16F11C88"/>
    <w:rsid w:val="177945DA"/>
    <w:rsid w:val="183660B4"/>
    <w:rsid w:val="18856C25"/>
    <w:rsid w:val="19E21628"/>
    <w:rsid w:val="1A7A7A29"/>
    <w:rsid w:val="1A7B7DF9"/>
    <w:rsid w:val="1B5D7415"/>
    <w:rsid w:val="1B7E5CCF"/>
    <w:rsid w:val="1B925356"/>
    <w:rsid w:val="1B9B174A"/>
    <w:rsid w:val="1BD20A61"/>
    <w:rsid w:val="1BEA72FD"/>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E41646"/>
    <w:rsid w:val="229175B6"/>
    <w:rsid w:val="22947508"/>
    <w:rsid w:val="22F96045"/>
    <w:rsid w:val="235B4756"/>
    <w:rsid w:val="236524D0"/>
    <w:rsid w:val="23980AFE"/>
    <w:rsid w:val="23E95402"/>
    <w:rsid w:val="2419770F"/>
    <w:rsid w:val="24850715"/>
    <w:rsid w:val="24CC3C09"/>
    <w:rsid w:val="25420AA1"/>
    <w:rsid w:val="256C7940"/>
    <w:rsid w:val="25B8698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A46BD9"/>
    <w:rsid w:val="2CC626B6"/>
    <w:rsid w:val="2CE10710"/>
    <w:rsid w:val="2CE85F5A"/>
    <w:rsid w:val="2D7E3D18"/>
    <w:rsid w:val="2DDD3326"/>
    <w:rsid w:val="2F45627A"/>
    <w:rsid w:val="2F6949FE"/>
    <w:rsid w:val="2FB87DE1"/>
    <w:rsid w:val="2FEC59DE"/>
    <w:rsid w:val="303A6BC9"/>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D6FC0"/>
    <w:rsid w:val="3A6173C2"/>
    <w:rsid w:val="3AAC01AC"/>
    <w:rsid w:val="3B0A72A6"/>
    <w:rsid w:val="3B8B0275"/>
    <w:rsid w:val="3BAA1AEF"/>
    <w:rsid w:val="3BBFF88E"/>
    <w:rsid w:val="3C563907"/>
    <w:rsid w:val="3C927782"/>
    <w:rsid w:val="3CDB3B76"/>
    <w:rsid w:val="3CE339D8"/>
    <w:rsid w:val="3D18652D"/>
    <w:rsid w:val="3D994A3B"/>
    <w:rsid w:val="3DB84502"/>
    <w:rsid w:val="3E8D1E58"/>
    <w:rsid w:val="3EA7114B"/>
    <w:rsid w:val="3EFA3D39"/>
    <w:rsid w:val="3F2C269F"/>
    <w:rsid w:val="3F2D41C8"/>
    <w:rsid w:val="3F62719B"/>
    <w:rsid w:val="3FCD1079"/>
    <w:rsid w:val="41007258"/>
    <w:rsid w:val="414016F7"/>
    <w:rsid w:val="416D009A"/>
    <w:rsid w:val="41C2308A"/>
    <w:rsid w:val="42AC12DF"/>
    <w:rsid w:val="4403385A"/>
    <w:rsid w:val="4687279B"/>
    <w:rsid w:val="483A2BEA"/>
    <w:rsid w:val="48863E0A"/>
    <w:rsid w:val="490833CF"/>
    <w:rsid w:val="49704E95"/>
    <w:rsid w:val="49D4419C"/>
    <w:rsid w:val="49F77EC3"/>
    <w:rsid w:val="4A061877"/>
    <w:rsid w:val="4A7529A2"/>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A5093E"/>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0153A1"/>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6DF335B"/>
    <w:rsid w:val="68906B4E"/>
    <w:rsid w:val="68A9143F"/>
    <w:rsid w:val="698E36B9"/>
    <w:rsid w:val="69AB33AB"/>
    <w:rsid w:val="69B707BE"/>
    <w:rsid w:val="69C51212"/>
    <w:rsid w:val="6A08309F"/>
    <w:rsid w:val="6A6114AB"/>
    <w:rsid w:val="6A6B6D42"/>
    <w:rsid w:val="6A7420A0"/>
    <w:rsid w:val="6AB447A0"/>
    <w:rsid w:val="6AC6674A"/>
    <w:rsid w:val="6B1D2762"/>
    <w:rsid w:val="6BF41341"/>
    <w:rsid w:val="6BFD06C2"/>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8174D8"/>
    <w:rsid w:val="72F2089E"/>
    <w:rsid w:val="734350A8"/>
    <w:rsid w:val="735B235F"/>
    <w:rsid w:val="73B44D96"/>
    <w:rsid w:val="745463AC"/>
    <w:rsid w:val="75430823"/>
    <w:rsid w:val="7567100D"/>
    <w:rsid w:val="760C033F"/>
    <w:rsid w:val="76131F66"/>
    <w:rsid w:val="76264BB4"/>
    <w:rsid w:val="762C03C6"/>
    <w:rsid w:val="77573C5D"/>
    <w:rsid w:val="77604877"/>
    <w:rsid w:val="778D6ACB"/>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E11763D"/>
    <w:rsid w:val="7E657E86"/>
    <w:rsid w:val="7EDE3ED2"/>
    <w:rsid w:val="7F030C71"/>
    <w:rsid w:val="7F206281"/>
    <w:rsid w:val="7F3942E4"/>
    <w:rsid w:val="7FAF531C"/>
    <w:rsid w:val="7FEF249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qFormat/>
    <w:uiPriority w:val="0"/>
    <w:pPr>
      <w:keepNext/>
      <w:keepLines/>
      <w:numPr>
        <w:ilvl w:val="3"/>
        <w:numId w:val="1"/>
      </w:numPr>
      <w:spacing w:before="280" w:after="290" w:line="376" w:lineRule="auto"/>
      <w:outlineLvl w:val="3"/>
    </w:pPr>
    <w:rPr>
      <w:rFonts w:ascii="Cambria" w:hAnsi="Cambria" w:cs="Cambria"/>
      <w:b/>
      <w:bCs/>
      <w:sz w:val="28"/>
      <w:szCs w:val="28"/>
    </w:rPr>
  </w:style>
  <w:style w:type="character" w:default="1" w:styleId="10">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Balloon Text"/>
    <w:basedOn w:val="1"/>
    <w:link w:val="14"/>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iPriority w:val="0"/>
    <w:pPr>
      <w:spacing w:before="100" w:beforeAutospacing="1" w:after="100" w:afterAutospacing="1"/>
      <w:ind w:left="0" w:right="0"/>
      <w:jc w:val="left"/>
    </w:pPr>
    <w:rPr>
      <w:kern w:val="0"/>
      <w:sz w:val="24"/>
      <w:lang w:val="en-US" w:eastAsia="zh-CN" w:bidi="ar"/>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uiPriority w:val="0"/>
  </w:style>
  <w:style w:type="character" w:styleId="12">
    <w:name w:val="FollowedHyperlink"/>
    <w:qFormat/>
    <w:uiPriority w:val="0"/>
    <w:rPr>
      <w:color w:val="00A7D8"/>
      <w:u w:val="none"/>
    </w:rPr>
  </w:style>
  <w:style w:type="character" w:styleId="13">
    <w:name w:val="Hyperlink"/>
    <w:uiPriority w:val="0"/>
    <w:rPr>
      <w:color w:val="444444"/>
      <w:u w:val="none"/>
    </w:rPr>
  </w:style>
  <w:style w:type="character" w:customStyle="1" w:styleId="14">
    <w:name w:val="批注框文本 Char"/>
    <w:link w:val="4"/>
    <w:qFormat/>
    <w:uiPriority w:val="0"/>
    <w:rPr>
      <w:kern w:val="2"/>
      <w:sz w:val="18"/>
      <w:szCs w:val="18"/>
    </w:rPr>
  </w:style>
  <w:style w:type="paragraph" w:customStyle="1" w:styleId="15">
    <w:name w:val="Char"/>
    <w:basedOn w:val="1"/>
    <w:qFormat/>
    <w:uiPriority w:val="0"/>
    <w:pPr>
      <w:widowControl/>
      <w:spacing w:after="160" w:line="240" w:lineRule="exact"/>
      <w:jc w:val="left"/>
    </w:pPr>
    <w:rPr>
      <w:rFonts w:ascii="Verdana" w:hAnsi="Verdana"/>
      <w:kern w:val="0"/>
      <w:sz w:val="18"/>
      <w:szCs w:val="20"/>
      <w:lang w:eastAsia="en-US"/>
    </w:rPr>
  </w:style>
  <w:style w:type="paragraph" w:customStyle="1" w:styleId="16">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17">
    <w:name w:val="Table Paragraph"/>
    <w:basedOn w:val="1"/>
    <w:qFormat/>
    <w:uiPriority w:val="1"/>
    <w:rPr>
      <w:rFonts w:ascii="宋体" w:hAnsi="宋体" w:eastAsia="宋体" w:cs="宋体"/>
      <w:lang w:val="zh-CN" w:eastAsia="zh-CN" w:bidi="zh-CN"/>
    </w:rPr>
  </w:style>
  <w:style w:type="paragraph" w:customStyle="1" w:styleId="18">
    <w:name w:val="正文+宋体"/>
    <w:basedOn w:val="1"/>
    <w:qFormat/>
    <w:uiPriority w:val="0"/>
  </w:style>
  <w:style w:type="paragraph" w:customStyle="1" w:styleId="19">
    <w:name w:val="段"/>
    <w:qFormat/>
    <w:uiPriority w:val="0"/>
    <w:pPr>
      <w:tabs>
        <w:tab w:val="center" w:pos="4201"/>
        <w:tab w:val="right" w:leader="dot" w:pos="9298"/>
      </w:tabs>
      <w:autoSpaceDE w:val="0"/>
      <w:autoSpaceDN w:val="0"/>
      <w:ind w:firstLine="420" w:firstLineChars="200"/>
      <w:jc w:val="both"/>
    </w:pPr>
    <w:rPr>
      <w:rFonts w:ascii="宋体" w:hAnsi="Calibri"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Hewlett-Packard Company</Company>
  <Pages>3</Pages>
  <Words>1046</Words>
  <Characters>1323</Characters>
  <Lines>10</Lines>
  <Paragraphs>2</Paragraphs>
  <TotalTime>2</TotalTime>
  <ScaleCrop>false</ScaleCrop>
  <LinksUpToDate>false</LinksUpToDate>
  <CharactersWithSpaces>1349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2025-06-17T11:43:00Z</dcterms:created>
  <dc:creator>cj_wong</dc:creator>
  <cp:lastModifiedBy>薛彦军</cp:lastModifiedBy>
  <cp:lastPrinted>2020-01-09T10:23:00Z</cp:lastPrinted>
  <dcterms:modified xsi:type="dcterms:W3CDTF">2025-08-22T04:23:09Z</dcterms:modified>
  <dc:title>XXXX年第X批风险监测实施方案</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SaveFontToCloudKey">
    <vt:lpwstr>440214228_cloud</vt:lpwstr>
  </property>
  <property fmtid="{D5CDD505-2E9C-101B-9397-08002B2CF9AE}" pid="4" name="ICV">
    <vt:lpwstr>2D5087FE08BA4F47B72A6F0D57059F67_13</vt:lpwstr>
  </property>
  <property fmtid="{D5CDD505-2E9C-101B-9397-08002B2CF9AE}" pid="5" name="KSOTemplateDocerSaveRecord">
    <vt:lpwstr>eyJoZGlkIjoiYTFkYTBlZTdjZjRhNmM2ZTk2ZjlkNjQ5NmVjODEzMDAiLCJ1c2VySWQiOiIyMzA0NTk3MzEifQ==</vt:lpwstr>
  </property>
</Properties>
</file>