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spacing w:afterLines="50" w:line="1040" w:lineRule="exact"/>
        <w:jc w:val="center"/>
        <w:rPr>
          <w:rFonts w:hint="default" w:ascii="方正小标宋_GBK" w:hAnsi="华文中宋" w:eastAsia="方正小标宋_GBK" w:cs="华文中宋"/>
          <w:bCs/>
          <w:sz w:val="60"/>
          <w:szCs w:val="60"/>
        </w:rPr>
      </w:pPr>
      <w:r>
        <w:rPr>
          <w:rFonts w:hint="default" w:ascii="方正小标宋_GBK" w:hAnsi="华文中宋" w:eastAsia="方正小标宋_GBK" w:cs="华文中宋"/>
          <w:bCs/>
          <w:sz w:val="60"/>
          <w:szCs w:val="60"/>
        </w:rPr>
        <w:t>昆山市处置森林火灾应急预案</w:t>
      </w:r>
    </w:p>
    <w:p>
      <w:pPr>
        <w:rPr>
          <w:rFonts w:hint="default" w:ascii="Times New Roman" w:hAnsi="Times New Roman" w:eastAsia="方正小标宋_GBK" w:cs="Times New Roman"/>
          <w:bCs/>
          <w:sz w:val="28"/>
          <w:szCs w:val="28"/>
        </w:rPr>
      </w:pPr>
    </w:p>
    <w:p>
      <w:pPr>
        <w:pStyle w:val="2"/>
        <w:spacing w:after="0"/>
        <w:rPr>
          <w:rFonts w:hint="default" w:ascii="Times New Roman" w:hAnsi="Times New Roman" w:eastAsia="方正小标宋_GBK" w:cs="Times New Roman"/>
          <w:bCs/>
          <w:sz w:val="32"/>
          <w:szCs w:val="32"/>
        </w:rPr>
      </w:pPr>
    </w:p>
    <w:p>
      <w:pPr>
        <w:rPr>
          <w:rFonts w:hint="default"/>
        </w:rPr>
      </w:pPr>
    </w:p>
    <w:p>
      <w:pPr>
        <w:rPr>
          <w:rFonts w:hint="default" w:ascii="Times New Roman" w:hAnsi="Times New Roman" w:eastAsia="方正小标宋_GBK" w:cs="Times New Roman"/>
          <w:bCs/>
          <w:sz w:val="32"/>
          <w:szCs w:val="32"/>
        </w:rPr>
      </w:pPr>
    </w:p>
    <w:p>
      <w:pPr>
        <w:pStyle w:val="2"/>
        <w:spacing w:after="0"/>
        <w:rPr>
          <w:rFonts w:hint="default" w:ascii="Times New Roman" w:hAnsi="Times New Roman" w:eastAsia="方正小标宋_GBK" w:cs="Times New Roman"/>
          <w:bCs/>
          <w:sz w:val="32"/>
          <w:szCs w:val="32"/>
        </w:rPr>
      </w:pPr>
    </w:p>
    <w:p>
      <w:pPr>
        <w:pStyle w:val="2"/>
        <w:spacing w:after="0"/>
        <w:rPr>
          <w:rFonts w:hint="default" w:ascii="Times New Roman" w:hAnsi="Times New Roman" w:cs="Times New Roman"/>
          <w:sz w:val="32"/>
          <w:szCs w:val="32"/>
        </w:rPr>
      </w:pPr>
    </w:p>
    <w:p>
      <w:pPr>
        <w:pStyle w:val="2"/>
        <w:spacing w:after="0"/>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spacing w:after="156" w:afterLines="50"/>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昆山市人民政府</w:t>
      </w:r>
    </w:p>
    <w:p>
      <w:pPr>
        <w:spacing w:after="156" w:afterLines="50"/>
        <w:jc w:val="center"/>
        <w:rPr>
          <w:rFonts w:hint="default" w:ascii="Times New Roman" w:hAnsi="Times New Roman" w:eastAsia="方正小标宋_GBK" w:cs="Times New Roman"/>
          <w:bCs/>
          <w:sz w:val="36"/>
          <w:szCs w:val="36"/>
        </w:rPr>
      </w:pPr>
      <w:r>
        <w:rPr>
          <w:rFonts w:hint="default" w:ascii="Times New Roman" w:hAnsi="Times New Roman" w:eastAsia="黑体" w:cs="Times New Roman"/>
          <w:bCs/>
          <w:sz w:val="36"/>
          <w:szCs w:val="36"/>
        </w:rPr>
        <w:t>二〇二三年</w:t>
      </w:r>
      <w:r>
        <w:rPr>
          <w:rFonts w:hint="eastAsia" w:ascii="Times New Roman" w:hAnsi="Times New Roman" w:eastAsia="黑体" w:cs="Times New Roman"/>
          <w:bCs/>
          <w:sz w:val="36"/>
          <w:szCs w:val="36"/>
          <w:lang w:val="en-US" w:eastAsia="zh-CN"/>
        </w:rPr>
        <w:t>十一</w:t>
      </w:r>
      <w:r>
        <w:rPr>
          <w:rFonts w:hint="default" w:ascii="Times New Roman" w:hAnsi="Times New Roman" w:eastAsia="黑体" w:cs="Times New Roman"/>
          <w:bCs/>
          <w:sz w:val="36"/>
          <w:szCs w:val="36"/>
        </w:rPr>
        <w:t>月</w:t>
      </w:r>
    </w:p>
    <w:p>
      <w:pPr>
        <w:widowControl/>
        <w:jc w:val="left"/>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br w:type="page"/>
      </w:r>
    </w:p>
    <w:p>
      <w:pPr>
        <w:spacing w:line="360" w:lineRule="auto"/>
        <w:jc w:val="center"/>
        <w:rPr>
          <w:rFonts w:hint="default" w:ascii="Times New Roman" w:hAnsi="Times New Roman" w:eastAsia="华文中宋" w:cs="Times New Roman"/>
          <w:bCs/>
          <w:sz w:val="44"/>
          <w:szCs w:val="44"/>
        </w:rPr>
      </w:pPr>
      <w:r>
        <w:rPr>
          <w:rFonts w:hint="default" w:ascii="Times New Roman" w:hAnsi="Times New Roman" w:eastAsia="华文中宋" w:cs="Times New Roman"/>
          <w:bCs/>
          <w:sz w:val="44"/>
          <w:szCs w:val="44"/>
        </w:rPr>
        <w:t>编制说明</w:t>
      </w:r>
    </w:p>
    <w:p>
      <w:pPr>
        <w:spacing w:line="360" w:lineRule="auto"/>
        <w:rPr>
          <w:rFonts w:hint="default" w:ascii="Times New Roman" w:hAnsi="Times New Roman" w:cs="Times New Roman"/>
          <w:b/>
          <w:szCs w:val="32"/>
        </w:rPr>
      </w:pPr>
    </w:p>
    <w:p>
      <w:pPr>
        <w:widowControl/>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提高昆山市处置森林火灾的应对能力，最大限度地预防和减少森林火灾事件及其造成的损害，保障人民群众生命财产安全，维护国家安全和社会稳定，促进全市国民经济持续健康协调发展，按照《中华人民共和国突发事件应对法》、《中华人民共和国森林法》等法律法规要求，结合本市实际，制定《昆山市处置森林火灾应急预案》，2020年7月13日发布的《昆山市处置森林火灾应急预案》同时废止。</w:t>
      </w:r>
    </w:p>
    <w:p>
      <w:pPr>
        <w:spacing w:after="156" w:afterLines="50"/>
        <w:jc w:val="left"/>
        <w:rPr>
          <w:rFonts w:hint="default" w:ascii="Times New Roman" w:hAnsi="Times New Roman" w:eastAsia="仿宋_GB2312" w:cs="Times New Roman"/>
          <w:bCs/>
          <w:sz w:val="32"/>
          <w:szCs w:val="32"/>
        </w:rPr>
      </w:pPr>
    </w:p>
    <w:p>
      <w:pPr>
        <w:spacing w:after="156" w:afterLines="50"/>
        <w:jc w:val="left"/>
        <w:rPr>
          <w:rFonts w:hint="default" w:ascii="Times New Roman" w:hAnsi="Times New Roman" w:eastAsia="仿宋_GB2312" w:cs="Times New Roman"/>
          <w:bCs/>
          <w:sz w:val="32"/>
          <w:szCs w:val="32"/>
        </w:rPr>
      </w:pPr>
    </w:p>
    <w:p>
      <w:pPr>
        <w:spacing w:after="156" w:afterLines="50"/>
        <w:ind w:firstLine="5440" w:firstLineChars="17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p>
    <w:p>
      <w:pPr>
        <w:spacing w:after="156" w:afterLines="50"/>
        <w:jc w:val="left"/>
        <w:rPr>
          <w:rFonts w:hint="default" w:ascii="Times New Roman" w:hAnsi="Times New Roman" w:eastAsia="方正小标宋_GBK" w:cs="Times New Roman"/>
          <w:bCs/>
          <w:sz w:val="36"/>
          <w:szCs w:val="36"/>
        </w:rPr>
      </w:pPr>
    </w:p>
    <w:p>
      <w:pPr>
        <w:spacing w:after="156" w:afterLines="50"/>
        <w:jc w:val="center"/>
        <w:rPr>
          <w:rFonts w:hint="default" w:ascii="Times New Roman" w:hAnsi="Times New Roman" w:eastAsia="方正小标宋_GBK" w:cs="Times New Roman"/>
          <w:bCs/>
          <w:sz w:val="36"/>
          <w:szCs w:val="36"/>
        </w:rPr>
        <w:sectPr>
          <w:footerReference r:id="rId5" w:type="first"/>
          <w:headerReference r:id="rId3" w:type="even"/>
          <w:footerReference r:id="rId4" w:type="even"/>
          <w:pgSz w:w="11906" w:h="16838"/>
          <w:pgMar w:top="1417" w:right="1417" w:bottom="1418" w:left="1417" w:header="851" w:footer="992" w:gutter="0"/>
          <w:pgNumType w:fmt="numberInDash"/>
          <w:cols w:space="720" w:num="1"/>
          <w:docGrid w:type="lines" w:linePitch="312" w:charSpace="0"/>
        </w:sectPr>
      </w:pPr>
      <w:bookmarkStart w:id="120" w:name="_GoBack"/>
      <w:bookmarkEnd w:id="120"/>
    </w:p>
    <w:p>
      <w:pPr>
        <w:tabs>
          <w:tab w:val="left" w:pos="9193"/>
          <w:tab w:val="left" w:pos="9827"/>
        </w:tabs>
        <w:autoSpaceDE w:val="0"/>
        <w:autoSpaceDN w:val="0"/>
        <w:snapToGrid w:val="0"/>
        <w:spacing w:line="640" w:lineRule="atLeast"/>
        <w:jc w:val="center"/>
        <w:rPr>
          <w:rFonts w:hint="default" w:ascii="Times New Roman" w:hAnsi="Times New Roman" w:eastAsia="黑体" w:cs="Times New Roman"/>
          <w:b/>
          <w:snapToGrid w:val="0"/>
          <w:spacing w:val="-4"/>
          <w:kern w:val="0"/>
          <w:sz w:val="44"/>
          <w:szCs w:val="44"/>
        </w:rPr>
      </w:pPr>
      <w:r>
        <w:rPr>
          <w:rFonts w:hint="default" w:ascii="Times New Roman" w:hAnsi="Times New Roman" w:eastAsia="黑体" w:cs="Times New Roman"/>
          <w:b/>
          <w:snapToGrid w:val="0"/>
          <w:spacing w:val="-4"/>
          <w:kern w:val="0"/>
          <w:sz w:val="44"/>
          <w:szCs w:val="44"/>
        </w:rPr>
        <w:t>目  录</w:t>
      </w:r>
    </w:p>
    <w:p>
      <w:pPr>
        <w:pStyle w:val="2"/>
        <w:spacing w:after="0" w:line="560" w:lineRule="exact"/>
        <w:rPr>
          <w:rFonts w:hint="default" w:ascii="Times New Roman" w:hAnsi="Times New Roman" w:cs="Times New Roman"/>
          <w:sz w:val="32"/>
          <w:szCs w:val="32"/>
        </w:rPr>
      </w:pPr>
    </w:p>
    <w:p>
      <w:pPr>
        <w:pStyle w:val="6"/>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TOC \o "1-2" \h \u </w:instrText>
      </w:r>
      <w:r>
        <w:rPr>
          <w:rFonts w:hint="default" w:ascii="Times New Roman" w:hAnsi="Times New Roman" w:eastAsia="方正仿宋_GBK" w:cs="Times New Roman"/>
          <w:sz w:val="32"/>
          <w:szCs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"_Toc134609905" </w:instrText>
      </w:r>
      <w:r>
        <w:rPr>
          <w:rFonts w:hint="default" w:ascii="Times New Roman" w:hAnsi="Times New Roman" w:cs="Times New Roman"/>
        </w:rPr>
        <w:fldChar w:fldCharType="separate"/>
      </w:r>
      <w:r>
        <w:rPr>
          <w:rStyle w:val="12"/>
          <w:rFonts w:hint="default" w:ascii="Times New Roman" w:hAnsi="Times New Roman" w:eastAsia="方正黑体_GBK" w:cs="Times New Roman"/>
          <w:sz w:val="32"/>
          <w:szCs w:val="32"/>
        </w:rPr>
        <w:t>1  总则</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_Toc134609905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"_Toc134609906"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1.1  编制目的</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_Toc134609906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"_Toc134609907"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1.2  编制依据</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_Toc134609907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"_Toc134609908"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1.3  适用范围</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_Toc134609908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"_Toc134609909"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1.4  工作原则</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_Toc134609909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"_Toc134609910" </w:instrText>
      </w:r>
      <w:r>
        <w:rPr>
          <w:rFonts w:hint="default" w:ascii="Times New Roman" w:hAnsi="Times New Roman" w:cs="Times New Roman"/>
        </w:rPr>
        <w:fldChar w:fldCharType="separate"/>
      </w:r>
      <w:r>
        <w:rPr>
          <w:rStyle w:val="12"/>
          <w:rFonts w:hint="default" w:ascii="Times New Roman" w:hAnsi="Times New Roman" w:eastAsia="方正仿宋_GBK" w:cs="Times New Roman"/>
          <w:sz w:val="32"/>
          <w:szCs w:val="32"/>
        </w:rPr>
        <w:t xml:space="preserve">1.5  </w:t>
      </w:r>
      <w:r>
        <w:rPr>
          <w:rStyle w:val="12"/>
          <w:rFonts w:hint="default" w:ascii="Times New Roman" w:hAnsi="Times New Roman" w:eastAsia="楷体" w:cs="Times New Roman"/>
          <w:sz w:val="32"/>
          <w:szCs w:val="32"/>
        </w:rPr>
        <w:t>预案衔接</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_Toc134609910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- 3 -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"_Toc134609911"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1.6  火灾分级</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_Toc134609911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- 3 -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6"/>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"_Toc134609912" </w:instrText>
      </w:r>
      <w:r>
        <w:rPr>
          <w:rFonts w:hint="default" w:ascii="Times New Roman" w:hAnsi="Times New Roman" w:cs="Times New Roman"/>
        </w:rPr>
        <w:fldChar w:fldCharType="separate"/>
      </w:r>
      <w:r>
        <w:rPr>
          <w:rStyle w:val="12"/>
          <w:rFonts w:hint="default" w:ascii="Times New Roman" w:hAnsi="Times New Roman" w:eastAsia="方正黑体_GBK" w:cs="Times New Roman"/>
          <w:sz w:val="32"/>
          <w:szCs w:val="32"/>
        </w:rPr>
        <w:t>2  组织指挥体系与职责</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_Toc134609912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- 4 -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"_Toc134609913"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2.1  指挥机构及职责</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_Toc134609913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- 4 -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"_Toc134609914"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2.2  办事机构及职责</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_Toc134609914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- 5 -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"_Toc134609915"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2.3  成员单位及职责</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_Toc134609915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- 5 -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"_Toc134609916"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2.4  现场指挥机构</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_Toc134609916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- 9 -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6"/>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"_Toc134609917" </w:instrText>
      </w:r>
      <w:r>
        <w:rPr>
          <w:rFonts w:hint="default" w:ascii="Times New Roman" w:hAnsi="Times New Roman" w:cs="Times New Roman"/>
        </w:rPr>
        <w:fldChar w:fldCharType="separate"/>
      </w:r>
      <w:r>
        <w:rPr>
          <w:rStyle w:val="12"/>
          <w:rFonts w:hint="default" w:ascii="Times New Roman" w:hAnsi="Times New Roman" w:eastAsia="方正黑体_GBK" w:cs="Times New Roman"/>
          <w:sz w:val="32"/>
          <w:szCs w:val="32"/>
        </w:rPr>
        <w:t>3  主要任务</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_Toc134609917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- 12 -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"_Toc134609918"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3.1  组织灭火行动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_Toc134609918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- 12 -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"_Toc134609919"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3.2  转移疏散人员</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_Toc134609919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- 12 -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"_Toc134609920"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3.3  保护重要目标</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_Toc134609920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- 12 -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"_Toc134609921"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3.4  转移重要物资</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_Toc134609921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- 12 -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"_Toc134609922"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3.5  维护社会稳定</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_Toc134609922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- 12 -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6"/>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"_Toc134609923" </w:instrText>
      </w:r>
      <w:r>
        <w:rPr>
          <w:rFonts w:hint="default" w:ascii="Times New Roman" w:hAnsi="Times New Roman" w:cs="Times New Roman"/>
        </w:rPr>
        <w:fldChar w:fldCharType="separate"/>
      </w:r>
      <w:r>
        <w:rPr>
          <w:rStyle w:val="12"/>
          <w:rFonts w:hint="default" w:ascii="Times New Roman" w:hAnsi="Times New Roman" w:eastAsia="方正黑体_GBK" w:cs="Times New Roman"/>
          <w:sz w:val="32"/>
          <w:szCs w:val="32"/>
        </w:rPr>
        <w:t>4  应急力量</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_Toc134609923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- 12 -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"_Toc134609924"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4.1  扑火力量</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_Toc134609924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- 12 -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"_Toc134609925"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4.2  跨区域增援机动力量</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_Toc134609925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- 13 -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6"/>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"_Toc134609926" </w:instrText>
      </w:r>
      <w:r>
        <w:rPr>
          <w:rFonts w:hint="default" w:ascii="Times New Roman" w:hAnsi="Times New Roman" w:cs="Times New Roman"/>
        </w:rPr>
        <w:fldChar w:fldCharType="separate"/>
      </w:r>
      <w:r>
        <w:rPr>
          <w:rStyle w:val="12"/>
          <w:rFonts w:hint="default" w:ascii="Times New Roman" w:hAnsi="Times New Roman" w:eastAsia="方正黑体_GBK" w:cs="Times New Roman"/>
          <w:sz w:val="32"/>
          <w:szCs w:val="32"/>
        </w:rPr>
        <w:t>5  预防、监测与预警</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_Toc134609926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- 13 -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"_Toc134609927"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5.1  火灾预防</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_Toc134609927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- 13 -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"_Toc134609928"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5.2  火险预测预报</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_Toc134609928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- 13 -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"_Toc134609929"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5.3  林火监测</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_Toc134609929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- 14 -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"_Toc134609930"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5.4  预警</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_Toc134609930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- 14 -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6"/>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"_Toc134609931" </w:instrText>
      </w:r>
      <w:r>
        <w:rPr>
          <w:rFonts w:hint="default" w:ascii="Times New Roman" w:hAnsi="Times New Roman" w:cs="Times New Roman"/>
        </w:rPr>
        <w:fldChar w:fldCharType="separate"/>
      </w:r>
      <w:r>
        <w:rPr>
          <w:rStyle w:val="12"/>
          <w:rFonts w:hint="default" w:ascii="Times New Roman" w:hAnsi="Times New Roman" w:eastAsia="方正黑体_GBK" w:cs="Times New Roman"/>
          <w:sz w:val="32"/>
          <w:szCs w:val="32"/>
        </w:rPr>
        <w:t>6  应急处置和救援</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_Toc134609931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- 15 -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"_Toc134609932"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6.1  信息报告</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_Toc134609932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- 15 -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"_Toc134609933"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6.2  应急响应</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_Toc134609933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- 16 -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"_Toc134609934"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6.3  指挥原则</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_Toc134609934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- 18 -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"_Toc134609935"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6.4  扑火方法</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_Toc134609935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- 19 -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"_Toc134609936"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6.5  转移安置</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_Toc134609936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- 19 -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"_Toc134609937"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6.6  医疗救护</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_Toc134609937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- 19 -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"_Toc134609938"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6.7  保护目标</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_Toc134609938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- 19 -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"_Toc134609939"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6.8  维护治安</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_Toc134609939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- 20 -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"_Toc134609940"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6.9  火场清理</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_Toc134609940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- 20 -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"_Toc134609941"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6.10  信息发布</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_Toc134609941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- 20 -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"_Toc134609942"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6.11  应急结束</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_Toc134609942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- 21 -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6"/>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"_Toc134609943" </w:instrText>
      </w:r>
      <w:r>
        <w:rPr>
          <w:rFonts w:hint="default" w:ascii="Times New Roman" w:hAnsi="Times New Roman" w:cs="Times New Roman"/>
        </w:rPr>
        <w:fldChar w:fldCharType="separate"/>
      </w:r>
      <w:r>
        <w:rPr>
          <w:rStyle w:val="12"/>
          <w:rFonts w:hint="default" w:ascii="Times New Roman" w:hAnsi="Times New Roman" w:eastAsia="方正黑体_GBK" w:cs="Times New Roman"/>
          <w:sz w:val="32"/>
          <w:szCs w:val="32"/>
        </w:rPr>
        <w:t>7  后期处置</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_Toc134609943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- 21 -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"_Toc134609944"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7.1  火灾评估</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_Toc134609944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- 21 -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"_Toc134609945"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7.2  工作总结</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_Toc134609945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- 21 -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"_Toc134609946"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7.3  奖惩问责</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_Toc134609946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- 21 -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6"/>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"_Toc134609947" </w:instrText>
      </w:r>
      <w:r>
        <w:rPr>
          <w:rFonts w:hint="default" w:ascii="Times New Roman" w:hAnsi="Times New Roman" w:cs="Times New Roman"/>
        </w:rPr>
        <w:fldChar w:fldCharType="separate"/>
      </w:r>
      <w:r>
        <w:rPr>
          <w:rStyle w:val="12"/>
          <w:rFonts w:hint="default" w:ascii="Times New Roman" w:hAnsi="Times New Roman" w:eastAsia="方正黑体_GBK" w:cs="Times New Roman"/>
          <w:sz w:val="32"/>
          <w:szCs w:val="32"/>
        </w:rPr>
        <w:t>8  应急保障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_Toc134609947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- 21 -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"_Toc134609948"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8.1  通信保障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_Toc134609948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- 21 -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"_Toc134609949"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8.2  队伍保障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_Toc134609949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- 22 -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"_Toc134609950"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8.3  物资保障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_Toc134609950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- 22 -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"_Toc134609951"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8.4  资金保障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_Toc134609951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- 22 -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"_Toc134609952"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8.5  交通运输保障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_Toc134609952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- 22 -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"_Toc134609953"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8.6  治安保障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_Toc134609953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- 22 -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"_Toc134609954"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8.7  技术保障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_Toc134609954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- 23 -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6"/>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"_Toc134609955" </w:instrText>
      </w:r>
      <w:r>
        <w:rPr>
          <w:rFonts w:hint="default" w:ascii="Times New Roman" w:hAnsi="Times New Roman" w:cs="Times New Roman"/>
        </w:rPr>
        <w:fldChar w:fldCharType="separate"/>
      </w:r>
      <w:r>
        <w:rPr>
          <w:rStyle w:val="12"/>
          <w:rFonts w:hint="default" w:ascii="Times New Roman" w:hAnsi="Times New Roman" w:eastAsia="方正黑体_GBK" w:cs="Times New Roman"/>
          <w:sz w:val="32"/>
          <w:szCs w:val="32"/>
        </w:rPr>
        <w:t>9  预案管理</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_Toc134609955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- 23 -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"_Toc134609956"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9.1  预案编制</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_Toc134609956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- 23 -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"_Toc134609957"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9.2  预案演练</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_Toc134609957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- 23 -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"_Toc134609958" </w:instrText>
      </w:r>
      <w:r>
        <w:rPr>
          <w:rFonts w:hint="default" w:ascii="Times New Roman" w:hAnsi="Times New Roman" w:cs="Times New Roman"/>
        </w:rPr>
        <w:fldChar w:fldCharType="separate"/>
      </w:r>
      <w:r>
        <w:rPr>
          <w:rStyle w:val="12"/>
          <w:rFonts w:hint="default" w:ascii="Times New Roman" w:hAnsi="Times New Roman" w:eastAsia="方正仿宋_GBK" w:cs="Times New Roman"/>
          <w:sz w:val="32"/>
          <w:szCs w:val="32"/>
        </w:rPr>
        <w:t xml:space="preserve">9.3 </w:t>
      </w:r>
      <w:r>
        <w:rPr>
          <w:rStyle w:val="12"/>
          <w:rFonts w:hint="default" w:ascii="Times New Roman" w:hAnsi="Times New Roman" w:eastAsia="楷体" w:cs="Times New Roman"/>
          <w:sz w:val="32"/>
          <w:szCs w:val="32"/>
        </w:rPr>
        <w:t xml:space="preserve"> 预案评估与修订</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_Toc134609958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- 23 -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"_Toc134609959" </w:instrText>
      </w:r>
      <w:r>
        <w:rPr>
          <w:rFonts w:hint="default" w:ascii="Times New Roman" w:hAnsi="Times New Roman" w:cs="Times New Roman"/>
        </w:rPr>
        <w:fldChar w:fldCharType="separate"/>
      </w:r>
      <w:r>
        <w:rPr>
          <w:rStyle w:val="12"/>
          <w:rFonts w:hint="default" w:ascii="Times New Roman" w:hAnsi="Times New Roman" w:eastAsia="方正仿宋_GBK" w:cs="Times New Roman"/>
          <w:sz w:val="32"/>
          <w:szCs w:val="32"/>
        </w:rPr>
        <w:t xml:space="preserve">9.4 </w:t>
      </w:r>
      <w:r>
        <w:rPr>
          <w:rStyle w:val="12"/>
          <w:rFonts w:hint="default" w:ascii="Times New Roman" w:hAnsi="Times New Roman" w:eastAsia="楷体" w:cs="Times New Roman"/>
          <w:sz w:val="32"/>
          <w:szCs w:val="32"/>
        </w:rPr>
        <w:t xml:space="preserve"> 宣传教育和培训</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_Toc134609959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- 24 -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6"/>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"_Toc134609960" </w:instrText>
      </w:r>
      <w:r>
        <w:rPr>
          <w:rFonts w:hint="default" w:ascii="Times New Roman" w:hAnsi="Times New Roman" w:cs="Times New Roman"/>
        </w:rPr>
        <w:fldChar w:fldCharType="separate"/>
      </w:r>
      <w:r>
        <w:rPr>
          <w:rStyle w:val="12"/>
          <w:rFonts w:hint="default" w:ascii="Times New Roman" w:hAnsi="Times New Roman" w:eastAsia="方正黑体_GBK" w:cs="Times New Roman"/>
          <w:sz w:val="32"/>
          <w:szCs w:val="32"/>
        </w:rPr>
        <w:t>10  附则</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_Toc134609960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- 25 -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"_Toc134609962" </w:instrText>
      </w:r>
      <w:r>
        <w:rPr>
          <w:rFonts w:hint="default" w:ascii="Times New Roman" w:hAnsi="Times New Roman" w:cs="Times New Roman"/>
        </w:rPr>
        <w:fldChar w:fldCharType="separate"/>
      </w:r>
      <w:r>
        <w:rPr>
          <w:rStyle w:val="12"/>
          <w:rFonts w:hint="default" w:ascii="Times New Roman" w:hAnsi="Times New Roman" w:eastAsia="方正仿宋_GBK" w:cs="Times New Roman"/>
          <w:sz w:val="32"/>
          <w:szCs w:val="32"/>
        </w:rPr>
        <w:t xml:space="preserve">10.1  </w:t>
      </w:r>
      <w:r>
        <w:rPr>
          <w:rStyle w:val="12"/>
          <w:rFonts w:hint="default" w:ascii="Times New Roman" w:hAnsi="Times New Roman" w:eastAsia="楷体" w:cs="Times New Roman"/>
          <w:sz w:val="32"/>
          <w:szCs w:val="32"/>
        </w:rPr>
        <w:t>奖励与责任</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_Toc134609962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- 25 -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"_Toc134609963"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10.2  制定与解释</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_Toc134609963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- 25 -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"_Toc134609964"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10.3  实施时间</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_Toc134609964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- 25 -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6"/>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Style w:val="12"/>
          <w:rFonts w:hint="default" w:ascii="Times New Roman" w:hAnsi="Times New Roman" w:eastAsia="方正黑体_GBK"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"_Toc134609965" </w:instrText>
      </w:r>
      <w:r>
        <w:rPr>
          <w:rFonts w:hint="default" w:ascii="Times New Roman" w:hAnsi="Times New Roman" w:cs="Times New Roman"/>
        </w:rPr>
        <w:fldChar w:fldCharType="separate"/>
      </w:r>
      <w:r>
        <w:rPr>
          <w:rStyle w:val="12"/>
          <w:rFonts w:hint="default" w:ascii="Times New Roman" w:hAnsi="Times New Roman" w:eastAsia="方正黑体_GBK" w:cs="Times New Roman"/>
          <w:sz w:val="32"/>
          <w:szCs w:val="32"/>
        </w:rPr>
        <w:t>附件</w:t>
      </w:r>
      <w:r>
        <w:rPr>
          <w:rStyle w:val="12"/>
          <w:rFonts w:hint="default" w:ascii="Times New Roman" w:hAnsi="Times New Roman" w:eastAsia="方正黑体_GBK" w:cs="Times New Roman"/>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_Toc134609965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- 26 -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"_Toc134609966"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附件1  昆山市森林火灾应急指挥体系图</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_Toc134609966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- 26 -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"_Toc134609967"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附件2  昆山市森林火灾应急指挥部工作组组成</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_Toc134609967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- 27 -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"_Toc134609968"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附件3  昆山市森林火灾应急响应流程图</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_Toc134609968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- 29 -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"_Toc134609969"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附件4  昆山市处置</w:t>
      </w:r>
      <w:bookmarkStart w:id="0" w:name="_Hlt140150633"/>
      <w:bookmarkStart w:id="1" w:name="_Hlt140150634"/>
      <w:r>
        <w:rPr>
          <w:rStyle w:val="12"/>
          <w:rFonts w:hint="default" w:ascii="Times New Roman" w:hAnsi="Times New Roman" w:eastAsia="楷体" w:cs="Times New Roman"/>
          <w:sz w:val="32"/>
          <w:szCs w:val="32"/>
        </w:rPr>
        <w:t>森</w:t>
      </w:r>
      <w:bookmarkEnd w:id="0"/>
      <w:bookmarkEnd w:id="1"/>
      <w:r>
        <w:rPr>
          <w:rStyle w:val="12"/>
          <w:rFonts w:hint="default" w:ascii="Times New Roman" w:hAnsi="Times New Roman" w:eastAsia="楷体" w:cs="Times New Roman"/>
          <w:sz w:val="32"/>
          <w:szCs w:val="32"/>
        </w:rPr>
        <w:t>林火灾应急救援专家组名单</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_Toc134609969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- 30 -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"_Toc134609970"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附件5  昆山市消防救援队伍汇总表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_Toc134609970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- 31 -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"_Toc134609971"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附件6  昆山市专业应急救援队伍及物资装备汇总表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_Toc134609971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- 31 -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"_Toc134609972"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附件7  昆山市社会应急救援队伍及物资装备汇总表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_Toc134609972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- 34 -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7"/>
        <w:keepNext w:val="0"/>
        <w:keepLines w:val="0"/>
        <w:pageBreakBefore w:val="0"/>
        <w:tabs>
          <w:tab w:val="right" w:leader="dot" w:pos="906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"_Toc134609973" </w:instrText>
      </w:r>
      <w:r>
        <w:rPr>
          <w:rFonts w:hint="default" w:ascii="Times New Roman" w:hAnsi="Times New Roman" w:cs="Times New Roman"/>
        </w:rPr>
        <w:fldChar w:fldCharType="separate"/>
      </w:r>
      <w:r>
        <w:rPr>
          <w:rStyle w:val="12"/>
          <w:rFonts w:hint="default" w:ascii="Times New Roman" w:hAnsi="Times New Roman" w:eastAsia="楷体" w:cs="Times New Roman"/>
          <w:sz w:val="32"/>
          <w:szCs w:val="32"/>
        </w:rPr>
        <w:t>附件8  昆山市应急避难场所汇总表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_Toc134609973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- 38 -</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sectPr>
          <w:footerReference r:id="rId6" w:type="default"/>
          <w:pgSz w:w="11906" w:h="16838"/>
          <w:pgMar w:top="1418" w:right="1418" w:bottom="1418" w:left="1418" w:header="992" w:footer="992" w:gutter="0"/>
          <w:pgNumType w:fmt="upperRoman" w:start="1"/>
          <w:cols w:space="720" w:num="1"/>
          <w:titlePg/>
          <w:docGrid w:linePitch="312" w:charSpace="0"/>
        </w:sectPr>
      </w:pPr>
      <w:r>
        <w:rPr>
          <w:rFonts w:hint="default" w:ascii="Times New Roman" w:hAnsi="Times New Roman" w:eastAsia="方正仿宋_GBK" w:cs="Times New Roman"/>
          <w:sz w:val="32"/>
          <w:szCs w:val="32"/>
        </w:rPr>
        <w:fldChar w:fldCharType="end"/>
      </w:r>
    </w:p>
    <w:p>
      <w:pPr>
        <w:keepNext w:val="0"/>
        <w:keepLines w:val="0"/>
        <w:pageBreakBefore w:val="0"/>
        <w:widowControl w:val="0"/>
        <w:kinsoku/>
        <w:wordWrap/>
        <w:overflowPunct/>
        <w:topLinePunct w:val="0"/>
        <w:bidi w:val="0"/>
        <w:spacing w:line="600" w:lineRule="exact"/>
        <w:ind w:firstLine="643" w:firstLineChars="200"/>
        <w:textAlignment w:val="auto"/>
        <w:outlineLvl w:val="0"/>
        <w:rPr>
          <w:rFonts w:hint="default" w:ascii="Times New Roman" w:hAnsi="Times New Roman" w:eastAsia="黑体" w:cs="Times New Roman"/>
          <w:b/>
          <w:bCs/>
          <w:sz w:val="32"/>
          <w:szCs w:val="32"/>
        </w:rPr>
      </w:pPr>
      <w:bookmarkStart w:id="2" w:name="_Toc134609905"/>
      <w:r>
        <w:rPr>
          <w:rFonts w:hint="default" w:ascii="Times New Roman" w:hAnsi="Times New Roman" w:eastAsia="黑体" w:cs="Times New Roman"/>
          <w:b/>
          <w:bCs/>
          <w:sz w:val="32"/>
          <w:szCs w:val="32"/>
        </w:rPr>
        <w:t>1  总则</w:t>
      </w:r>
      <w:bookmarkEnd w:id="2"/>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3" w:name="_Toc134609906"/>
      <w:r>
        <w:rPr>
          <w:rFonts w:hint="default" w:ascii="Times New Roman" w:hAnsi="Times New Roman" w:eastAsia="楷体_GB2312" w:cs="Times New Roman"/>
          <w:sz w:val="32"/>
          <w:szCs w:val="32"/>
        </w:rPr>
        <w:t>1.1  编制目的</w:t>
      </w:r>
      <w:bookmarkEnd w:id="3"/>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贯彻落实习近平总书记关于防灾减灾救灾重要论述和关于全面做好森林草原防灭火工作的重要指示精神，进一步建立健全森林火灾应对工作机制，始终坚持“预防为主、防灭结合”的森林防灭火工作方针，做好各项扑火准备和制定科学的扑救措施，规范组织指挥程序和紧急事务处理办法，提高森林火灾应对能力，确保在森林火灾应对时能够反应快速、高效有序、准备充分、决策科学、措施得力，最大限度地减少人员伤亡，将森林火灾造成的损失降到最低程度，保护森林资源，维护生态安全。</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4" w:name="_Toc134609907"/>
      <w:r>
        <w:rPr>
          <w:rFonts w:hint="default" w:ascii="Times New Roman" w:hAnsi="Times New Roman" w:eastAsia="楷体_GB2312" w:cs="Times New Roman"/>
          <w:sz w:val="32"/>
          <w:szCs w:val="32"/>
        </w:rPr>
        <w:t>1.2  编制依据</w:t>
      </w:r>
      <w:bookmarkEnd w:id="4"/>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（1）《中华人民共和国突发事件应对法》（中华人民共和国主席令第69号，2007年11月1日起施行）；</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（2）《中华人民共和国森林法》（1984年9月20日第六届全国人大常委会第七次会议通过，2019年12月28日第十三届全国人大常委会第十五次会议修订）；</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（3）《中华人民共和国森林法实施条例》（2000年1月29日国务院令第278号发布，2018年3月19日第三次修订）；</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（4）《森林防火条例》（1988年1月16日国务院公布，2008年11月19日国务院第36次常务会议修订，2009年1月1日起施行）；</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（5）《自然灾害救助条例》（2010年7月8日中华人民共和国国务院令第577号公布，2019年3月2日修订）；</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（6）《国家森林草原火灾应急预案》（国办函〔2020〕99号）；</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（7）《江苏省〈森林防火条例〉实施办法》（江苏省人民政府令第167号，2023年4月1日起施行）；</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（8）《江苏省森林火灾应急预案》（苏政办函〔2020〕63号）；</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（9）《苏州市处置森林火灾应急预案》（苏府办〔2020〕229号）；</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（10）《昆山市突发事件总体应急预案》。</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5" w:name="_Toc134609908"/>
      <w:r>
        <w:rPr>
          <w:rFonts w:hint="default" w:ascii="Times New Roman" w:hAnsi="Times New Roman" w:eastAsia="楷体_GB2312" w:cs="Times New Roman"/>
          <w:sz w:val="32"/>
          <w:szCs w:val="32"/>
        </w:rPr>
        <w:t>1.3  适用范围</w:t>
      </w:r>
      <w:bookmarkEnd w:id="5"/>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本预案适用于在昆山市境内发生的森林火灾应急处置工作。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6" w:name="_Toc134609909"/>
      <w:r>
        <w:rPr>
          <w:rFonts w:hint="default" w:ascii="Times New Roman" w:hAnsi="Times New Roman" w:eastAsia="楷体_GB2312" w:cs="Times New Roman"/>
          <w:sz w:val="32"/>
          <w:szCs w:val="32"/>
        </w:rPr>
        <w:t>1.4  工作原则</w:t>
      </w:r>
      <w:bookmarkEnd w:id="6"/>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1.4.1  统一领导，分级负责。</w:t>
      </w:r>
      <w:r>
        <w:rPr>
          <w:rFonts w:hint="default" w:ascii="Times New Roman" w:hAnsi="Times New Roman" w:eastAsia="仿宋_GB2312" w:cs="Times New Roman"/>
          <w:sz w:val="32"/>
          <w:szCs w:val="32"/>
        </w:rPr>
        <w:t>森林火灾应对工作实行地方各.级政府行政首长负责制，坚持统一领导、多方协同，分级负责、属地为主，以人为本、科学扑救的原则。森林火灾发生后，市、各区镇及其有关部门应立即按照职责分工和相关预案开展处置工作。</w:t>
      </w:r>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1.4.2  以人为本，安全防范。</w:t>
      </w:r>
      <w:r>
        <w:rPr>
          <w:rFonts w:hint="default" w:ascii="Times New Roman" w:hAnsi="Times New Roman" w:eastAsia="仿宋_GB2312" w:cs="Times New Roman"/>
          <w:sz w:val="32"/>
          <w:szCs w:val="32"/>
        </w:rPr>
        <w:t>把保护火灾发生地区人民群众生命安全放在首位，切实保护人民群众财产和林区公共设施安全，保护森林资源安全，最大限度地减少人员伤亡，把森林火灾损失降到最低限度。</w:t>
      </w:r>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1.4.3  协调配合，快速反应。</w:t>
      </w:r>
      <w:r>
        <w:rPr>
          <w:rFonts w:hint="default" w:ascii="Times New Roman" w:hAnsi="Times New Roman" w:eastAsia="仿宋_GB2312" w:cs="Times New Roman"/>
          <w:sz w:val="32"/>
          <w:szCs w:val="32"/>
        </w:rPr>
        <w:t>本预案涉及的相关部门，应根据本部门在森林防灭火工作中的职责，落实各项措施，尽职尽责、密切协作，确保在处置森林火灾时快速作出应急反应。</w:t>
      </w:r>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1.4.4  依靠科学，注重实效。</w:t>
      </w:r>
      <w:r>
        <w:rPr>
          <w:rFonts w:hint="default" w:ascii="Times New Roman" w:hAnsi="Times New Roman" w:eastAsia="仿宋_GB2312" w:cs="Times New Roman"/>
          <w:sz w:val="32"/>
          <w:szCs w:val="32"/>
        </w:rPr>
        <w:t>充分发挥社会各方面尤其是专家的作用，实行科学民主决策，采用先进的预报、预警、预防、监测和应急处置技术，提高森林火灾预防和应急救援的科技水平。</w:t>
      </w:r>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1.4.5  平战结合，常备不懈。</w:t>
      </w:r>
      <w:r>
        <w:rPr>
          <w:rFonts w:hint="default" w:ascii="Times New Roman" w:hAnsi="Times New Roman" w:eastAsia="仿宋_GB2312" w:cs="Times New Roman"/>
          <w:sz w:val="32"/>
          <w:szCs w:val="32"/>
        </w:rPr>
        <w:t>市、区镇两级建立健全应对森林火灾事件的有效机制，有关部门以及森林经营单位和个人不仅要落实预防森林火灾的各项措施，更要做好紧急应对突发森林火灾的人员、物资和扑救方案准备工作，加强专业应急队伍的培训和演练，做到常备不懈。</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7" w:name="_Toc20353"/>
      <w:bookmarkStart w:id="8" w:name="_Toc5569"/>
      <w:bookmarkStart w:id="9" w:name="_Toc19089"/>
      <w:bookmarkStart w:id="10" w:name="_Toc18731"/>
      <w:bookmarkStart w:id="11" w:name="_Toc11749"/>
      <w:bookmarkStart w:id="12" w:name="_Toc11824"/>
      <w:bookmarkStart w:id="13" w:name="_Toc134609910"/>
      <w:bookmarkStart w:id="14" w:name="_Toc11138"/>
      <w:bookmarkStart w:id="15" w:name="_Toc30965"/>
      <w:r>
        <w:rPr>
          <w:rFonts w:hint="default" w:ascii="Times New Roman" w:hAnsi="Times New Roman" w:eastAsia="楷体_GB2312" w:cs="Times New Roman"/>
          <w:sz w:val="32"/>
          <w:szCs w:val="32"/>
        </w:rPr>
        <w:t>1.5</w:t>
      </w:r>
      <w:bookmarkEnd w:id="7"/>
      <w:bookmarkEnd w:id="8"/>
      <w:bookmarkEnd w:id="9"/>
      <w:r>
        <w:rPr>
          <w:rFonts w:hint="default" w:ascii="Times New Roman" w:hAnsi="Times New Roman" w:eastAsia="楷体_GB2312" w:cs="Times New Roman"/>
          <w:sz w:val="32"/>
          <w:szCs w:val="32"/>
        </w:rPr>
        <w:t xml:space="preserve">  预案衔接</w:t>
      </w:r>
      <w:bookmarkEnd w:id="10"/>
      <w:bookmarkEnd w:id="11"/>
      <w:bookmarkEnd w:id="12"/>
      <w:bookmarkEnd w:id="13"/>
      <w:bookmarkEnd w:id="14"/>
      <w:bookmarkEnd w:id="15"/>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本应急预案是《昆山市突发事件总体应急预案》应对处置森林火灾的专项预案，与《苏州市处置森林火灾应急预案》衔接。有关区镇、重点企业和单位的处置森林火灾应急预案应与本预案衔接。</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16" w:name="_Toc134609911"/>
      <w:r>
        <w:rPr>
          <w:rFonts w:hint="default" w:ascii="Times New Roman" w:hAnsi="Times New Roman" w:eastAsia="楷体_GB2312" w:cs="Times New Roman"/>
          <w:sz w:val="32"/>
          <w:szCs w:val="32"/>
        </w:rPr>
        <w:t>1.6  火灾分级</w:t>
      </w:r>
      <w:bookmarkEnd w:id="16"/>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1.6.1  火险气象等级</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火险气象等级划分五个等级，分别为一级、二级、三级、四级、五级。一级为难以燃烧的天气；二级为不易燃烧的天气；三级为能够燃烧的天气；四级为容易燃烧的高火险天气；五级为极易燃烧的最高等级火险天气。</w:t>
      </w:r>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1.6.2  火灾级别</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按照受害森林面积和伤亡人数，森林火灾分为一般森林火灾、较大森林火灾、重大森林火灾和特别重大森林火灾。</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一般森林火灾：受害森林面积在1公顷以下或者其他林地起火的，或者死亡1人以上3人以下的，或者重伤1人以上10人以下的；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较大森林火灾：受害森林面积在1公顷以上100公顷以下的，或者死亡3人以上10人以下的，或者重伤10人以上50人以下的；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重大森林火灾：受害森林面积在100公顷以上1000公顷以下的，或者死亡10人以上30人以下的，或者重伤50人以上100人以下的；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特别重大森林火灾：受害森林面积在1000公顷以上的，或者死亡30人以上的，或者重伤100人以上的。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本预案有关数量的表述中，“以上”含本数，“以下”不含本数。</w:t>
      </w:r>
    </w:p>
    <w:p>
      <w:pPr>
        <w:keepNext w:val="0"/>
        <w:keepLines w:val="0"/>
        <w:pageBreakBefore w:val="0"/>
        <w:widowControl w:val="0"/>
        <w:kinsoku/>
        <w:wordWrap/>
        <w:overflowPunct/>
        <w:topLinePunct w:val="0"/>
        <w:bidi w:val="0"/>
        <w:spacing w:line="600" w:lineRule="exact"/>
        <w:ind w:firstLine="643" w:firstLineChars="200"/>
        <w:textAlignment w:val="auto"/>
        <w:outlineLvl w:val="0"/>
        <w:rPr>
          <w:rFonts w:hint="default" w:ascii="Times New Roman" w:hAnsi="Times New Roman" w:eastAsia="黑体" w:cs="Times New Roman"/>
          <w:b/>
          <w:bCs/>
          <w:sz w:val="32"/>
          <w:szCs w:val="32"/>
        </w:rPr>
      </w:pPr>
      <w:bookmarkStart w:id="17" w:name="_Toc134609912"/>
      <w:r>
        <w:rPr>
          <w:rFonts w:hint="default" w:ascii="Times New Roman" w:hAnsi="Times New Roman" w:eastAsia="黑体" w:cs="Times New Roman"/>
          <w:b/>
          <w:bCs/>
          <w:sz w:val="32"/>
          <w:szCs w:val="32"/>
        </w:rPr>
        <w:t>2  组织指挥体系与职责</w:t>
      </w:r>
      <w:bookmarkEnd w:id="17"/>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18" w:name="_Toc134609913"/>
      <w:r>
        <w:rPr>
          <w:rFonts w:hint="default" w:ascii="Times New Roman" w:hAnsi="Times New Roman" w:eastAsia="楷体_GB2312" w:cs="Times New Roman"/>
          <w:sz w:val="32"/>
          <w:szCs w:val="32"/>
        </w:rPr>
        <w:t>2.1  指挥机构及职责</w:t>
      </w:r>
      <w:bookmarkEnd w:id="18"/>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昆山市森林</w:t>
      </w:r>
      <w:r>
        <w:rPr>
          <w:rFonts w:hint="default" w:ascii="Times New Roman" w:hAnsi="Times New Roman" w:eastAsia="仿宋_GB2312" w:cs="Times New Roman"/>
          <w:sz w:val="32"/>
          <w:szCs w:val="32"/>
          <w:lang w:val="en-US" w:eastAsia="zh-CN"/>
        </w:rPr>
        <w:t>火灾应急</w:t>
      </w:r>
      <w:r>
        <w:rPr>
          <w:rFonts w:hint="default" w:ascii="Times New Roman" w:hAnsi="Times New Roman" w:eastAsia="仿宋_GB2312" w:cs="Times New Roman"/>
          <w:sz w:val="32"/>
          <w:szCs w:val="32"/>
        </w:rPr>
        <w:t>指挥部（以下简称“市</w:t>
      </w:r>
      <w:r>
        <w:rPr>
          <w:rFonts w:hint="default" w:ascii="Times New Roman" w:hAnsi="Times New Roman" w:eastAsia="仿宋_GB2312" w:cs="Times New Roman"/>
          <w:sz w:val="32"/>
          <w:szCs w:val="32"/>
          <w:lang w:val="en-US" w:eastAsia="zh-CN"/>
        </w:rPr>
        <w:t>应急指挥</w:t>
      </w:r>
      <w:r>
        <w:rPr>
          <w:rFonts w:hint="default" w:ascii="Times New Roman" w:hAnsi="Times New Roman" w:eastAsia="仿宋_GB2312" w:cs="Times New Roman"/>
          <w:sz w:val="32"/>
          <w:szCs w:val="32"/>
        </w:rPr>
        <w:t>部”）负责组织、协调和指导全市森林火灾应急处置工作。各区镇根据本区域森林资源的状况，成立相应的</w:t>
      </w:r>
      <w:bookmarkStart w:id="19" w:name="_Hlk37277843"/>
      <w:r>
        <w:rPr>
          <w:rFonts w:hint="default" w:ascii="Times New Roman" w:hAnsi="Times New Roman" w:eastAsia="仿宋_GB2312" w:cs="Times New Roman"/>
          <w:sz w:val="32"/>
          <w:szCs w:val="32"/>
        </w:rPr>
        <w:t>森林防灭火指挥</w:t>
      </w:r>
      <w:bookmarkEnd w:id="19"/>
      <w:r>
        <w:rPr>
          <w:rFonts w:hint="default" w:ascii="Times New Roman" w:hAnsi="Times New Roman" w:eastAsia="仿宋_GB2312" w:cs="Times New Roman"/>
          <w:sz w:val="32"/>
          <w:szCs w:val="32"/>
        </w:rPr>
        <w:t>机构，负责本区域森林火灾的应急处置工作。</w:t>
      </w:r>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2.1.1  市</w:t>
      </w:r>
      <w:r>
        <w:rPr>
          <w:rFonts w:hint="default" w:ascii="Times New Roman" w:hAnsi="Times New Roman" w:eastAsia="仿宋_GB2312" w:cs="Times New Roman"/>
          <w:b/>
          <w:bCs/>
          <w:sz w:val="32"/>
          <w:szCs w:val="32"/>
          <w:lang w:val="en-US" w:eastAsia="zh-CN"/>
        </w:rPr>
        <w:t>应急指挥</w:t>
      </w:r>
      <w:r>
        <w:rPr>
          <w:rFonts w:hint="default" w:ascii="Times New Roman" w:hAnsi="Times New Roman" w:eastAsia="仿宋_GB2312" w:cs="Times New Roman"/>
          <w:b/>
          <w:bCs/>
          <w:sz w:val="32"/>
          <w:szCs w:val="32"/>
        </w:rPr>
        <w:t>部组成</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总指挥：市政府分管应急管理和自然资源的副市长（发生较大以上森林火灾时，也可由市长担任）</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副总指挥：市政府办公室副主任、市应急管理局局长、市自然资源和规划局（市林业局）局长、市人武部副部长。</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委宣传部、市人武部、市发展和改革委员会（市粮食和物资储备局）、市教育局、市工业和信息化局、市公安局、市民政局、市财政局、市自然资源和规划局（市林业局）、市住房和城乡建设局、市交通运输局、市水务局、市农业农村局、市文体广电和旅游局、市卫生健康委员会、市应急管理局、市气象局、市消防救援大队、市电信局、昆山供电公司。</w:t>
      </w:r>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2.1.2  市</w:t>
      </w:r>
      <w:r>
        <w:rPr>
          <w:rFonts w:hint="default" w:ascii="Times New Roman" w:hAnsi="Times New Roman" w:eastAsia="仿宋_GB2312" w:cs="Times New Roman"/>
          <w:b/>
          <w:bCs/>
          <w:sz w:val="32"/>
          <w:szCs w:val="32"/>
          <w:lang w:val="en-US" w:eastAsia="zh-CN"/>
        </w:rPr>
        <w:t>应急指挥</w:t>
      </w:r>
      <w:r>
        <w:rPr>
          <w:rFonts w:hint="default" w:ascii="Times New Roman" w:hAnsi="Times New Roman" w:eastAsia="仿宋_GB2312" w:cs="Times New Roman"/>
          <w:b/>
          <w:bCs/>
          <w:sz w:val="32"/>
          <w:szCs w:val="32"/>
        </w:rPr>
        <w:t>部职责</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部署全市森林防灭火工作；指导协调全市森林火灾扑救工作；监督检查辖区内各有关单位贯彻执行上级和昆山市委市政府关于森林防灭火工作的决策部署以及其他事项的落实情况；组织指导有关森林火灾的调查评估处理和挂牌督办工作；协调各区镇之间、部门之间有关森林火灾扑救方面的重要问题；决定森林防灭火其他重大事项。</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20" w:name="_Toc134609914"/>
      <w:r>
        <w:rPr>
          <w:rFonts w:hint="default" w:ascii="Times New Roman" w:hAnsi="Times New Roman" w:eastAsia="楷体_GB2312" w:cs="Times New Roman"/>
          <w:sz w:val="32"/>
          <w:szCs w:val="32"/>
        </w:rPr>
        <w:t>2.2  办事机构及职责</w:t>
      </w:r>
      <w:bookmarkEnd w:id="20"/>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应急指挥部</w:t>
      </w:r>
      <w:r>
        <w:rPr>
          <w:rFonts w:hint="default" w:ascii="Times New Roman" w:hAnsi="Times New Roman" w:eastAsia="仿宋_GB2312" w:cs="Times New Roman"/>
          <w:sz w:val="32"/>
          <w:szCs w:val="32"/>
        </w:rPr>
        <w:t>下设办公室，作为其日常办事机构，由市应急管理局和市自然资源和规划局共同担任，设在市应急管理局，主任由市应急管理局局长担任，各成员单位有关科室负责人为联络员。</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协调推动各成员单位和各区镇贯彻落实党中央、国务院和省、市政府关于森林防灭火工作的各项决策部署和工作要求；协调解决全市森林防灭火工作中的重要问题和成员单位提出的重要事项；组织实施全市森林防灭火工作的督查、约谈工作，组织森林火灾调查评估处理和火灾事故挂牌督办工作；按总指挥、副总指挥的要求，做好预案启动和火灾扑救有关协调指导工作；承担市</w:t>
      </w:r>
      <w:r>
        <w:rPr>
          <w:rFonts w:hint="default" w:ascii="Times New Roman" w:hAnsi="Times New Roman" w:eastAsia="仿宋_GB2312" w:cs="Times New Roman"/>
          <w:sz w:val="32"/>
          <w:szCs w:val="32"/>
          <w:lang w:val="en-US" w:eastAsia="zh-CN"/>
        </w:rPr>
        <w:t>应急指挥部</w:t>
      </w:r>
      <w:r>
        <w:rPr>
          <w:rFonts w:hint="default" w:ascii="Times New Roman" w:hAnsi="Times New Roman" w:eastAsia="仿宋_GB2312" w:cs="Times New Roman"/>
          <w:sz w:val="32"/>
          <w:szCs w:val="32"/>
        </w:rPr>
        <w:t>交办的其他工作。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各区镇森林</w:t>
      </w:r>
      <w:r>
        <w:rPr>
          <w:rFonts w:hint="default" w:ascii="Times New Roman" w:hAnsi="Times New Roman" w:eastAsia="仿宋_GB2312" w:cs="Times New Roman"/>
          <w:sz w:val="32"/>
          <w:szCs w:val="32"/>
          <w:lang w:val="en-US" w:eastAsia="zh-CN"/>
        </w:rPr>
        <w:t>火灾应急</w:t>
      </w:r>
      <w:r>
        <w:rPr>
          <w:rFonts w:hint="default" w:ascii="Times New Roman" w:hAnsi="Times New Roman" w:eastAsia="仿宋_GB2312" w:cs="Times New Roman"/>
          <w:sz w:val="32"/>
          <w:szCs w:val="32"/>
        </w:rPr>
        <w:t>指挥部也应设立办公室，负责日常工作。一公顷以上林地落实专人负责森林防灭火的日常工作。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21" w:name="_Toc134609915"/>
      <w:r>
        <w:rPr>
          <w:rFonts w:hint="default" w:ascii="Times New Roman" w:hAnsi="Times New Roman" w:eastAsia="楷体_GB2312" w:cs="Times New Roman"/>
          <w:sz w:val="32"/>
          <w:szCs w:val="32"/>
        </w:rPr>
        <w:t>2.3  成员单位及职责</w:t>
      </w:r>
      <w:bookmarkEnd w:id="21"/>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应急指挥部</w:t>
      </w:r>
      <w:r>
        <w:rPr>
          <w:rFonts w:hint="default" w:ascii="Times New Roman" w:hAnsi="Times New Roman" w:eastAsia="仿宋_GB2312" w:cs="Times New Roman"/>
          <w:sz w:val="32"/>
          <w:szCs w:val="32"/>
        </w:rPr>
        <w:t>成员单位应根据职责分工，各司其职，各负其责，密切协作，确保各项森林防灭火工作任务顺利完成。各成员单位主要职责是：</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（1）市委宣传部：组织协调新闻媒体播放森林防灭火公益性广告；报道森林防灭火工作中的先进典型和火灾案例；按规定发布森林火灾灾情和救援工作的相关信息，指导有关部门做好舆论引导工作。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（2）市发展和改革委员会（市粮食和物资储备局）：负责将森林防灭火基础设施建设纳入全市国民经济和社会发展规划；协助建立应急物资库，根据救灾工作需要，协调做好应急物资采购储备等工作。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（3）市教育局：负责组织、指导全市学校开展形式多样的森林防灭火知识讲座，提高学校森林防灭火安全意识。</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（4）市工业和信息化局：根据森林防灭火工作需要，组织做好无线电通讯保障工作。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市公安局：组织做好灾区的治安管理、安全保卫，对火场周边实施交通封控、临时管制，配合做好火灾现场群众紧急疏散工作，组织侦办森林火案刑事案件；会同林业主管部门加强预防和打击各种违法用火活动。</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市民政局：加强已建经营性、公益性公墓的火源管理，落实防火措施，配备防火设施；教育引导公民文明祭祀，加强公墓和坟园的火源管理，做好减少传统祭祀方式造成的森林火灾风险的工作；全面推行无烟祭扫，消除安全隐患。</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（7）市财政局：负责市级森林防灭火资金保障工作，加强经费使用的检查监督。发生森林火灾时，及时安排扑火和处置所需的应急救援专项经费。</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市自然资源和规划局（市林业局）：负责落实综合防灾减灾规划相关要求，组织编制全市森林火灾的防治规划并指导实施；指导开展森林防火巡护、火源管理、防火设施建设等工作；组织指导开展宣传教育、监测预警、监督检查等防火工作；督促各区镇、各园林绿化管理部门严格落实森林防灭火责任制。</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（9）市住房和城乡建设局:负责加强对城市公园、绿地广场等市属绿地森林防灭火工作的监督检查。</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（10）市交通运输局：负责增援人员、扑救物资、需转移伤员和受灾群众的紧急运输工作。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（11）市水务局：协助做好火灾发生区域以水灭火的水资源保障工作。根据救灾工作需要，协调做好其它水资源调度使用。</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（12）市农业农村局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负责农业生产防灭火宣传教育，加强农业生产野外用火的检查监管，消除烧荒、烧田埂等森林火灾隐患，协助调查处理因农业生产引发的森林火灾。</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（13）市文体广电和旅游局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负责协调、指导和组织广播电视系统开展森林防灭火的宣传报道，配合有关部门发布经</w:t>
      </w:r>
      <w:r>
        <w:rPr>
          <w:rFonts w:hint="default" w:ascii="Times New Roman" w:hAnsi="Times New Roman" w:eastAsia="仿宋_GB2312" w:cs="Times New Roman"/>
          <w:sz w:val="32"/>
          <w:szCs w:val="32"/>
          <w:lang w:val="en-US" w:eastAsia="zh-CN"/>
        </w:rPr>
        <w:t>市应急</w:t>
      </w:r>
      <w:r>
        <w:rPr>
          <w:rFonts w:hint="default" w:ascii="Times New Roman" w:hAnsi="Times New Roman" w:eastAsia="仿宋_GB2312" w:cs="Times New Roman"/>
          <w:sz w:val="32"/>
          <w:szCs w:val="32"/>
        </w:rPr>
        <w:t>指挥部审定的森林火灾信息和扑救情况；指导督促旅游景区落实森林火灾防控措施、组织开展森林防灭火宣传教育。</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（14）市卫生健康委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组织、调配医疗卫生技术力量，组织、调度、协调现场急救和转诊救治工作，做好灾区卫生防疫。</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（15）市应急管理局：承担市</w:t>
      </w:r>
      <w:r>
        <w:rPr>
          <w:rFonts w:hint="default" w:ascii="Times New Roman" w:hAnsi="Times New Roman" w:eastAsia="仿宋_GB2312" w:cs="Times New Roman"/>
          <w:sz w:val="32"/>
          <w:szCs w:val="32"/>
          <w:lang w:val="en-US" w:eastAsia="zh-CN"/>
        </w:rPr>
        <w:t>应急指挥部</w:t>
      </w:r>
      <w:r>
        <w:rPr>
          <w:rFonts w:hint="default" w:ascii="Times New Roman" w:hAnsi="Times New Roman" w:eastAsia="仿宋_GB2312" w:cs="Times New Roman"/>
          <w:sz w:val="32"/>
          <w:szCs w:val="32"/>
        </w:rPr>
        <w:t>的日常工作；按照分级负责的原则，组织指导协调森林火灾应急救援工作，负责灾情收集汇总工作；综合指导相关部门做好森林火灾防控工作；负责编制市级森林火灾应急预案；协调国家综合性消防救援队伍和政府专职消防救援队伍共同做好森林火灾应急救援工作；承担市</w:t>
      </w:r>
      <w:r>
        <w:rPr>
          <w:rFonts w:hint="default" w:ascii="Times New Roman" w:hAnsi="Times New Roman" w:eastAsia="仿宋_GB2312" w:cs="Times New Roman"/>
          <w:sz w:val="32"/>
          <w:szCs w:val="32"/>
          <w:lang w:val="en-US" w:eastAsia="zh-CN"/>
        </w:rPr>
        <w:t>应急指挥部</w:t>
      </w:r>
      <w:r>
        <w:rPr>
          <w:rFonts w:hint="default" w:ascii="Times New Roman" w:hAnsi="Times New Roman" w:eastAsia="仿宋_GB2312" w:cs="Times New Roman"/>
          <w:sz w:val="32"/>
          <w:szCs w:val="32"/>
        </w:rPr>
        <w:t>办公室日常工作。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（16）市气象局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负责全市森林火险气象等级预报工作，并向社会发布；当出现森林火灾时，组织有关气象单位赶赴火场，搜集气象数据，为森林扑火决策做好服务。</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（17）市消防救援大队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加强森林扑火技能训练与演练；发生森林火灾时组织消防救援队伍参与火灾扑救工作。根据森林防灭火工作实际需要配备相应物资装备。</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（18）市电信局：按应急通讯的有关规定，组织协调做好火场与指挥部门的通讯保障工作，保证森林火灾扑救现场的指挥通信畅通。</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（19）昆山供电公司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保障森林防灭火基础设施建设的电力供应，负责扑救森林火灾的电力保障工作；在森林火灾危险地段开设防火隔离带，并组织人员进行巡护。</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（20）市人武部：衔接、协调解放军、武警部队、民兵和预备役部队，支持预防和扑救森林火灾工作，并协助组织受灾群众转移和安置、应急清障等。</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（21）各区镇：负责辖区内森林防火宣传、巡查督查、基础设施规划建设、防火物资储备、队伍和相关工作制度建设以及组织实施森林火灾应急处置等工作。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各成员单位除承担上述职责外，还应根据负责指挥应对森林火灾的</w:t>
      </w:r>
      <w:r>
        <w:rPr>
          <w:rFonts w:hint="default" w:ascii="Times New Roman" w:hAnsi="Times New Roman" w:eastAsia="仿宋_GB2312" w:cs="Times New Roman"/>
          <w:sz w:val="32"/>
          <w:szCs w:val="32"/>
          <w:lang w:val="en-US" w:eastAsia="zh-CN"/>
        </w:rPr>
        <w:t>市应急指挥部</w:t>
      </w:r>
      <w:r>
        <w:rPr>
          <w:rFonts w:hint="default" w:ascii="Times New Roman" w:hAnsi="Times New Roman" w:eastAsia="仿宋_GB2312" w:cs="Times New Roman"/>
          <w:sz w:val="32"/>
          <w:szCs w:val="32"/>
        </w:rPr>
        <w:t>要求，承担与其职责相关的其他工作。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22" w:name="_Toc134609916"/>
      <w:r>
        <w:rPr>
          <w:rFonts w:hint="default" w:ascii="Times New Roman" w:hAnsi="Times New Roman" w:eastAsia="楷体_GB2312" w:cs="Times New Roman"/>
          <w:sz w:val="32"/>
          <w:szCs w:val="32"/>
        </w:rPr>
        <w:t>2.4  现场指挥机构</w:t>
      </w:r>
      <w:bookmarkEnd w:id="22"/>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2.4.1  扑火前线指挥部</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森林火灾时，按照属地管理原则成立扑火前线指挥部，负责火灾现场扑救工作的指挥调度。随着灾情的发展，现场扑火指挥级别随之提高。火情发生后，当地区镇必须立即组织当地扑火力量赶赴现场进行扑救。一般情况下，发生一般森林火灾时，市</w:t>
      </w:r>
      <w:r>
        <w:rPr>
          <w:rFonts w:hint="default" w:ascii="Times New Roman" w:hAnsi="Times New Roman" w:eastAsia="仿宋_GB2312" w:cs="Times New Roman"/>
          <w:sz w:val="32"/>
          <w:szCs w:val="32"/>
          <w:lang w:val="en-US" w:eastAsia="zh-CN"/>
        </w:rPr>
        <w:t>应急指挥部</w:t>
      </w:r>
      <w:r>
        <w:rPr>
          <w:rFonts w:hint="default" w:ascii="Times New Roman" w:hAnsi="Times New Roman" w:eastAsia="仿宋_GB2312" w:cs="Times New Roman"/>
          <w:sz w:val="32"/>
          <w:szCs w:val="32"/>
        </w:rPr>
        <w:t>须在火场设立扑火前线指挥部，市</w:t>
      </w:r>
      <w:r>
        <w:rPr>
          <w:rFonts w:hint="default" w:ascii="Times New Roman" w:hAnsi="Times New Roman" w:eastAsia="仿宋_GB2312" w:cs="Times New Roman"/>
          <w:sz w:val="32"/>
          <w:szCs w:val="32"/>
          <w:lang w:val="en-US" w:eastAsia="zh-CN"/>
        </w:rPr>
        <w:t>应急指挥部</w:t>
      </w:r>
      <w:r>
        <w:rPr>
          <w:rFonts w:hint="default" w:ascii="Times New Roman" w:hAnsi="Times New Roman" w:eastAsia="仿宋_GB2312" w:cs="Times New Roman"/>
          <w:sz w:val="32"/>
          <w:szCs w:val="32"/>
        </w:rPr>
        <w:t>领导应到火场担任现场指挥。如火势仍难以控制，按有关规定，请求上级支援。</w:t>
      </w:r>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2.4.2  扑火前线指挥部的主要职责</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协调有关部门，调动扑火力量，采取行之有效的应对措施；传达、贯彻上级或本级市</w:t>
      </w:r>
      <w:r>
        <w:rPr>
          <w:rFonts w:hint="default" w:ascii="Times New Roman" w:hAnsi="Times New Roman" w:eastAsia="仿宋_GB2312" w:cs="Times New Roman"/>
          <w:sz w:val="32"/>
          <w:szCs w:val="32"/>
          <w:lang w:val="en-US" w:eastAsia="zh-CN"/>
        </w:rPr>
        <w:t>应急指挥部</w:t>
      </w:r>
      <w:r>
        <w:rPr>
          <w:rFonts w:hint="default" w:ascii="Times New Roman" w:hAnsi="Times New Roman" w:eastAsia="仿宋_GB2312" w:cs="Times New Roman"/>
          <w:sz w:val="32"/>
          <w:szCs w:val="32"/>
        </w:rPr>
        <w:t>对扑火救灾指示精神；及时向本级市</w:t>
      </w:r>
      <w:r>
        <w:rPr>
          <w:rFonts w:hint="default" w:ascii="Times New Roman" w:hAnsi="Times New Roman" w:eastAsia="仿宋_GB2312" w:cs="Times New Roman"/>
          <w:sz w:val="32"/>
          <w:szCs w:val="32"/>
          <w:lang w:val="en-US" w:eastAsia="zh-CN"/>
        </w:rPr>
        <w:t>应急指挥部</w:t>
      </w:r>
      <w:r>
        <w:rPr>
          <w:rFonts w:hint="default" w:ascii="Times New Roman" w:hAnsi="Times New Roman" w:eastAsia="仿宋_GB2312" w:cs="Times New Roman"/>
          <w:sz w:val="32"/>
          <w:szCs w:val="32"/>
        </w:rPr>
        <w:t>反馈火场信息；在全面掌握火灾现场自然条件、社会情况以及火场动态的情况下，调度消防救援专业人员进行火场侦察，组织实施扑救；组织火场后勤保障工作；负责火灾现场的宣传及新闻报道工作。</w:t>
      </w:r>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2.4.3  扑火前线指挥部组成</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扑火前线指挥部根据需要，可设综合协调、抢险救援、通讯保障、疏散警戒、后勤保障、信息发布、专家咨询、医疗救护等小组。具体分工如下：</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（1）综合协调组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组成单位：市应急管理局、市自然资源和规划局、市公安局、市人武部等部门及属地区镇，其中市应急管理局为牵头部门。</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掌握火情动态、扑火方案、扑火兵力部署及火场天气情况；与扑火前线指挥部保持信息传递畅通；根据火场火情动态，起草上报有关森林火灾的各类情况报告，及时传达市委市政府领导指示精神；根据扑火需要和扑火前线指挥部要求，做好协调调度工作；汇总扑火工作情况。</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（2）抢险救援组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组成单位：市消防救援大队、市公安局、市自然资源和规划局、市应急管理局等部门，其中市消防救援大队为牵头部门。</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负责调度火场情况，标绘火场态势，制订扑火方案，协调组织扑火力量，落实扑救措施。</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（3）通讯保障组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组成单位：市工业和信息化局、市电信局、昆山供电公司，其中市工业和信息化局为牵头部门。</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主要职责：发生森林火灾时，按应急通信的有关规定解决火场与指挥部门的通信联络；保证森林火灾扑救现场通信畅通，必要时，经批准后，可调用其他有关部门的通讯系统。</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（4）疏散警戒组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组成单位：市公安局、市交通运输局等部门，其中市公安局为牵头部门。</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主要职责：根据扑火工作需要和市</w:t>
      </w:r>
      <w:r>
        <w:rPr>
          <w:rFonts w:hint="default" w:ascii="Times New Roman" w:hAnsi="Times New Roman" w:eastAsia="仿宋_GB2312" w:cs="Times New Roman"/>
          <w:sz w:val="32"/>
          <w:szCs w:val="32"/>
          <w:lang w:val="en-US" w:eastAsia="zh-CN"/>
        </w:rPr>
        <w:t>应急指挥部</w:t>
      </w:r>
      <w:r>
        <w:rPr>
          <w:rFonts w:hint="default" w:ascii="Times New Roman" w:hAnsi="Times New Roman" w:eastAsia="仿宋_GB2312" w:cs="Times New Roman"/>
          <w:sz w:val="32"/>
          <w:szCs w:val="32"/>
        </w:rPr>
        <w:t>的指示，及时对扑火物资和增援人员进行快速运输，对火场周边进行交通封控、临时管制。协助灾区加强治安管理和安全保卫工作，预防和打击违法犯罪活动；维护灾区社会治安；维持交通秩序。</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（5）后勤保障组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组成单位：属地区镇，市发展和改革委员会（市粮食和物资储备局）、市财政局、市自然资源和规划局、市应急管理局、市水务局等部门，其中事发镇（区）人民政府为牵头部门。</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主要职责：根据应急处置工作需要，及时提供资金、物资、装备、食品、供水等方面的后勤服务和资源保障，灾民需要紧急转移时做好负责协调灾民临时安置和生活保障工作。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（6）信息发布组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组成单位：市委宣传部、市文体广电和旅游局、市自然资源和规划局、市应急管理局、市气象局等部门，其中市委宣传部为牵头部门。</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主要职责：组织火情和火灾扑救情况的宣传报道，协调新闻单位采访报道具体事宜；负责扑火前线指挥部的信息发布等工作。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（7）专家咨询组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组成单位：市自然资源和规划局、市气象局、市消防救援大队等部门，其中市自然资源和规划局为牵头部门。</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发生森林火灾时，召集有关专家组成专家咨询组，根据扑火进展情况、火场地形和森林资源情况、火场气象趋势等，对火情发展趋势进行科学分析、判断，就扑火战略和阶段性扑火战术等，向扑火前线指挥部提出合理化建议。</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（8）医疗救护组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组成单位：市卫生健康委员会、市红十字会等部门，市卫生健康委员会为牵头部门。</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主要职责：接到森林火灾灾情通报后，迅速组织医务人员赶赴现场，做好救援准备工作。</w:t>
      </w:r>
    </w:p>
    <w:p>
      <w:pPr>
        <w:keepNext w:val="0"/>
        <w:keepLines w:val="0"/>
        <w:pageBreakBefore w:val="0"/>
        <w:widowControl w:val="0"/>
        <w:kinsoku/>
        <w:wordWrap/>
        <w:overflowPunct/>
        <w:topLinePunct w:val="0"/>
        <w:bidi w:val="0"/>
        <w:spacing w:line="600" w:lineRule="exact"/>
        <w:ind w:firstLine="643" w:firstLineChars="200"/>
        <w:textAlignment w:val="auto"/>
        <w:outlineLvl w:val="0"/>
        <w:rPr>
          <w:rFonts w:hint="default" w:ascii="Times New Roman" w:hAnsi="Times New Roman" w:eastAsia="黑体" w:cs="Times New Roman"/>
          <w:b/>
          <w:bCs/>
          <w:sz w:val="32"/>
          <w:szCs w:val="32"/>
        </w:rPr>
      </w:pPr>
      <w:bookmarkStart w:id="23" w:name="_Toc134609917"/>
      <w:r>
        <w:rPr>
          <w:rFonts w:hint="default" w:ascii="Times New Roman" w:hAnsi="Times New Roman" w:eastAsia="黑体" w:cs="Times New Roman"/>
          <w:b/>
          <w:bCs/>
          <w:sz w:val="32"/>
          <w:szCs w:val="32"/>
        </w:rPr>
        <w:t>3  主要任务</w:t>
      </w:r>
      <w:bookmarkEnd w:id="23"/>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24" w:name="_Toc134609918"/>
      <w:r>
        <w:rPr>
          <w:rFonts w:hint="default" w:ascii="Times New Roman" w:hAnsi="Times New Roman" w:eastAsia="楷体_GB2312" w:cs="Times New Roman"/>
          <w:sz w:val="32"/>
          <w:szCs w:val="32"/>
        </w:rPr>
        <w:t>3.1  组织灭火行动</w:t>
      </w:r>
      <w:bookmarkEnd w:id="24"/>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指导协助组织扑明火、打火头、开隔离、清火线、守火场；协调解决扑火工作中存在的实际困难。</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25" w:name="_Toc134609919"/>
      <w:r>
        <w:rPr>
          <w:rFonts w:hint="default" w:ascii="Times New Roman" w:hAnsi="Times New Roman" w:eastAsia="楷体_GB2312" w:cs="Times New Roman"/>
          <w:sz w:val="32"/>
          <w:szCs w:val="32"/>
        </w:rPr>
        <w:t>3.2  转移疏散人员</w:t>
      </w:r>
      <w:bookmarkEnd w:id="25"/>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指导协助组织开展解救、转移、疏散受威胁群众并及时进行妥善安置和必要的医疗救治。</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26" w:name="_Toc134609920"/>
      <w:r>
        <w:rPr>
          <w:rFonts w:hint="default" w:ascii="Times New Roman" w:hAnsi="Times New Roman" w:eastAsia="楷体_GB2312" w:cs="Times New Roman"/>
          <w:sz w:val="32"/>
          <w:szCs w:val="32"/>
        </w:rPr>
        <w:t>3.3  保护重要目标</w:t>
      </w:r>
      <w:bookmarkEnd w:id="26"/>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指导协助保护民生和重要军事目标以及重大危险源安全。</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27" w:name="_Toc134609921"/>
      <w:r>
        <w:rPr>
          <w:rFonts w:hint="default" w:ascii="Times New Roman" w:hAnsi="Times New Roman" w:eastAsia="楷体_GB2312" w:cs="Times New Roman"/>
          <w:sz w:val="32"/>
          <w:szCs w:val="32"/>
        </w:rPr>
        <w:t>3.4  转移重要物资</w:t>
      </w:r>
      <w:bookmarkEnd w:id="27"/>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指导协助组织抢救、运送、转移重要物资。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28" w:name="_Toc134609922"/>
      <w:r>
        <w:rPr>
          <w:rFonts w:hint="default" w:ascii="Times New Roman" w:hAnsi="Times New Roman" w:eastAsia="楷体_GB2312" w:cs="Times New Roman"/>
          <w:sz w:val="32"/>
          <w:szCs w:val="32"/>
        </w:rPr>
        <w:t>3.5  维护社会稳定</w:t>
      </w:r>
      <w:bookmarkEnd w:id="28"/>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指导协助加强火灾发生地区社会治安工作，严密防范违法犯罪行为，加强重点目标守卫和治安巡逻，维护火灾发生地区社会秩序稳定。</w:t>
      </w:r>
    </w:p>
    <w:p>
      <w:pPr>
        <w:keepNext w:val="0"/>
        <w:keepLines w:val="0"/>
        <w:pageBreakBefore w:val="0"/>
        <w:widowControl w:val="0"/>
        <w:kinsoku/>
        <w:wordWrap/>
        <w:overflowPunct/>
        <w:topLinePunct w:val="0"/>
        <w:bidi w:val="0"/>
        <w:spacing w:line="600" w:lineRule="exact"/>
        <w:ind w:firstLine="643" w:firstLineChars="200"/>
        <w:textAlignment w:val="auto"/>
        <w:outlineLvl w:val="0"/>
        <w:rPr>
          <w:rFonts w:hint="default" w:ascii="Times New Roman" w:hAnsi="Times New Roman" w:eastAsia="黑体" w:cs="Times New Roman"/>
          <w:b/>
          <w:bCs/>
          <w:sz w:val="32"/>
          <w:szCs w:val="32"/>
        </w:rPr>
      </w:pPr>
      <w:bookmarkStart w:id="29" w:name="_Toc134609923"/>
      <w:r>
        <w:rPr>
          <w:rFonts w:hint="default" w:ascii="Times New Roman" w:hAnsi="Times New Roman" w:eastAsia="黑体" w:cs="Times New Roman"/>
          <w:b/>
          <w:bCs/>
          <w:sz w:val="32"/>
          <w:szCs w:val="32"/>
        </w:rPr>
        <w:t>4  应急力量</w:t>
      </w:r>
      <w:bookmarkEnd w:id="29"/>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30" w:name="_Toc134609924"/>
      <w:r>
        <w:rPr>
          <w:rFonts w:hint="default" w:ascii="Times New Roman" w:hAnsi="Times New Roman" w:eastAsia="楷体_GB2312" w:cs="Times New Roman"/>
          <w:sz w:val="32"/>
          <w:szCs w:val="32"/>
        </w:rPr>
        <w:t>4.1  扑火力量</w:t>
      </w:r>
      <w:bookmarkEnd w:id="30"/>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扑救森林火灾应以当地消防救援队伍为第一梯队，民兵、预备役等为第二梯队，森林经营单位森林扑火队伍为第三梯队。</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31" w:name="_Toc134609925"/>
      <w:r>
        <w:rPr>
          <w:rFonts w:hint="default" w:ascii="Times New Roman" w:hAnsi="Times New Roman" w:eastAsia="楷体_GB2312" w:cs="Times New Roman"/>
          <w:sz w:val="32"/>
          <w:szCs w:val="32"/>
        </w:rPr>
        <w:t>4.2  跨区域增援机动力量</w:t>
      </w:r>
      <w:bookmarkEnd w:id="31"/>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如火灾发生地扑火力量不足时，市</w:t>
      </w:r>
      <w:r>
        <w:rPr>
          <w:rFonts w:hint="default" w:ascii="Times New Roman" w:hAnsi="Times New Roman" w:eastAsia="仿宋_GB2312" w:cs="Times New Roman"/>
          <w:sz w:val="32"/>
          <w:szCs w:val="32"/>
          <w:lang w:val="en-US" w:eastAsia="zh-CN"/>
        </w:rPr>
        <w:t>应急指挥部</w:t>
      </w:r>
      <w:r>
        <w:rPr>
          <w:rFonts w:hint="default" w:ascii="Times New Roman" w:hAnsi="Times New Roman" w:eastAsia="仿宋_GB2312" w:cs="Times New Roman"/>
          <w:sz w:val="32"/>
          <w:szCs w:val="32"/>
        </w:rPr>
        <w:t>可以调动其他扑火队伍实施跨区域支援扑火。原则上以专业消防救援队伍为主，民兵、预备役、武警部队等为辅；就近增援为主，远距离增援为辅；低火险区增援为主，高火险区增援为辅。可视当时各地火险程度和火灾发生情况，调整增援梯队顺序。必要时由市</w:t>
      </w:r>
      <w:r>
        <w:rPr>
          <w:rFonts w:hint="default" w:ascii="Times New Roman" w:hAnsi="Times New Roman" w:eastAsia="仿宋_GB2312" w:cs="Times New Roman"/>
          <w:sz w:val="32"/>
          <w:szCs w:val="32"/>
          <w:lang w:val="en-US" w:eastAsia="zh-CN"/>
        </w:rPr>
        <w:t>应急指挥部</w:t>
      </w:r>
      <w:r>
        <w:rPr>
          <w:rFonts w:hint="default" w:ascii="Times New Roman" w:hAnsi="Times New Roman" w:eastAsia="仿宋_GB2312" w:cs="Times New Roman"/>
          <w:sz w:val="32"/>
          <w:szCs w:val="32"/>
        </w:rPr>
        <w:t>向苏州市森防指提出申请。武警部队的调动由市</w:t>
      </w:r>
      <w:r>
        <w:rPr>
          <w:rFonts w:hint="default" w:ascii="Times New Roman" w:hAnsi="Times New Roman" w:eastAsia="仿宋_GB2312" w:cs="Times New Roman"/>
          <w:sz w:val="32"/>
          <w:szCs w:val="32"/>
          <w:lang w:val="en-US" w:eastAsia="zh-CN"/>
        </w:rPr>
        <w:t>应急指挥部</w:t>
      </w:r>
      <w:r>
        <w:rPr>
          <w:rFonts w:hint="default" w:ascii="Times New Roman" w:hAnsi="Times New Roman" w:eastAsia="仿宋_GB2312" w:cs="Times New Roman"/>
          <w:sz w:val="32"/>
          <w:szCs w:val="32"/>
        </w:rPr>
        <w:t>报市政府后，按有关规定组织实施。完成任务后，报请扑火前线指挥部同意，离开现场。</w:t>
      </w:r>
    </w:p>
    <w:p>
      <w:pPr>
        <w:keepNext w:val="0"/>
        <w:keepLines w:val="0"/>
        <w:pageBreakBefore w:val="0"/>
        <w:widowControl w:val="0"/>
        <w:kinsoku/>
        <w:wordWrap/>
        <w:overflowPunct/>
        <w:topLinePunct w:val="0"/>
        <w:bidi w:val="0"/>
        <w:spacing w:line="600" w:lineRule="exact"/>
        <w:ind w:firstLine="643" w:firstLineChars="200"/>
        <w:textAlignment w:val="auto"/>
        <w:outlineLvl w:val="0"/>
        <w:rPr>
          <w:rFonts w:hint="default" w:ascii="Times New Roman" w:hAnsi="Times New Roman" w:eastAsia="黑体" w:cs="Times New Roman"/>
          <w:b/>
          <w:bCs/>
          <w:sz w:val="32"/>
          <w:szCs w:val="32"/>
        </w:rPr>
      </w:pPr>
      <w:bookmarkStart w:id="32" w:name="_Toc134609926"/>
      <w:r>
        <w:rPr>
          <w:rFonts w:hint="default" w:ascii="Times New Roman" w:hAnsi="Times New Roman" w:eastAsia="黑体" w:cs="Times New Roman"/>
          <w:b/>
          <w:bCs/>
          <w:sz w:val="32"/>
          <w:szCs w:val="32"/>
        </w:rPr>
        <w:t>5  预防、监测与预警</w:t>
      </w:r>
      <w:bookmarkEnd w:id="32"/>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33" w:name="_Toc134609927"/>
      <w:r>
        <w:rPr>
          <w:rFonts w:hint="default" w:ascii="Times New Roman" w:hAnsi="Times New Roman" w:eastAsia="楷体_GB2312" w:cs="Times New Roman"/>
          <w:sz w:val="32"/>
          <w:szCs w:val="32"/>
        </w:rPr>
        <w:t>5.1  火灾预防</w:t>
      </w:r>
      <w:bookmarkEnd w:id="33"/>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区镇森林防灭火有关部门和单位要经常性地开展森林防灭火宣传教育，尤其是对在森林区域活动的群众、外来务工人员和学生进行必要的防灭火知识培训，提高全民的森林防灭火意识；严格控制和管理野外火源，规范生产、生活用火行为；加强对高火险时段和危险区域的日常巡查和监督检查，消除各项火灾隐患；有计划地清除可燃物，开设防灭火阻隔带；加强森林防灭火基础设施建设，提高信息化水平，全面提高预防森林火灾治理体系和治理能力现代化。</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34" w:name="_Toc134609928"/>
      <w:r>
        <w:rPr>
          <w:rFonts w:hint="default" w:ascii="Times New Roman" w:hAnsi="Times New Roman" w:eastAsia="楷体_GB2312" w:cs="Times New Roman"/>
          <w:sz w:val="32"/>
          <w:szCs w:val="32"/>
        </w:rPr>
        <w:t>5.2  火险预测预报</w:t>
      </w:r>
      <w:bookmarkEnd w:id="34"/>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气象局负责制作全市24小时森林火险天气等级预报和森林火险天气警报，为尽快扑灭森林火灾创造有利条件。发生森林火灾后，市气象局要全面监测火场天气实况，提供火场天气形势预报。通过信息发布平台和广播、电视、报纸、互联网、手机短信等渠道向涉险区域相关部门和公众发布。</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35" w:name="_Toc134609929"/>
      <w:r>
        <w:rPr>
          <w:rFonts w:hint="default" w:ascii="Times New Roman" w:hAnsi="Times New Roman" w:eastAsia="楷体_GB2312" w:cs="Times New Roman"/>
          <w:sz w:val="32"/>
          <w:szCs w:val="32"/>
        </w:rPr>
        <w:t>5.3  林火监测</w:t>
      </w:r>
      <w:bookmarkEnd w:id="35"/>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森林所在区镇和林业主管部门必须密切关注天气情况和森林火险预警变化，加强森林防灭火巡护、远程监控和瞭望监测，督促森林经营单位加强火源管理，落实防灭火装备、物资等各项扑火准备。</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36" w:name="_Toc134609930"/>
      <w:r>
        <w:rPr>
          <w:rFonts w:hint="default" w:ascii="Times New Roman" w:hAnsi="Times New Roman" w:eastAsia="楷体_GB2312" w:cs="Times New Roman"/>
          <w:sz w:val="32"/>
          <w:szCs w:val="32"/>
        </w:rPr>
        <w:t>5.4  预警</w:t>
      </w:r>
      <w:bookmarkEnd w:id="36"/>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5.4.1  预警分级</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根据森林火险等级、火行为特征和可能造成的危害程度，将森林火险预警级别划分为四个等级，由高到低依次用红色、橙色、黄色和蓝色表示。</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红色预警信号代表极度危险，森林火险等级为五级，林内可燃物极易点燃，且极易迅猛蔓延，扑火难度大。 </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橙色预警信号代表高度危险，森林火险等级为四级，林内可燃物容易点燃，易形成强烈火势快速蔓延，具有高度危险。 </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黄色预警信号代表较高危险，森林火险等级为三级，林内可燃物较易点燃，较易蔓延，具有较高危险。 </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蓝色预警信号代表中度危险，森林火险等级为二级，林内可燃物可点燃，可以蔓延，具有中度危险。 </w:t>
      </w:r>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5.4.2  预警发布</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气象和林业主管部门加强会商，制作森林火险预警信息，并通过预警信息发布平台和广播、电视、报刊、信息网络、微信公众号等方式向涉险区域相关部门和社会公众发布。</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红色和橙色预警信息由本级政府主要负责人签发。黄色和蓝色预警信息由本级政府受委托的部门、单位主要负责人签发。</w:t>
      </w:r>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5.4.3  预警响应</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发布蓝色、黄色预警信息后，市政府及其有关部门密切关注天气情况和森林火险预警变化，加强森林防火巡护、林火远程监控和瞭望监测，做好森林防灭火宣传工作，加强火源管理，落实防灭火装备、物资等各项扑火准备；当地消防救援队伍进入待命状态。</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发布橙色、红色预警信息后，市政府及其有关部门在蓝色、黄色预警响应措施的基础上，进一步加强森林火源管理，开展森林防火检查，加大预警信息播报频度，做好物资调拨准备，当地消防救援队伍对力量部署进行必要调整，视情靠前驻防。</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市应急指挥部</w:t>
      </w:r>
      <w:r>
        <w:rPr>
          <w:rFonts w:hint="default" w:ascii="Times New Roman" w:hAnsi="Times New Roman" w:eastAsia="仿宋_GB2312" w:cs="Times New Roman"/>
          <w:sz w:val="32"/>
          <w:szCs w:val="32"/>
        </w:rPr>
        <w:t>视情对预警地区森林防灭火工作进行督促和指导。</w:t>
      </w:r>
    </w:p>
    <w:p>
      <w:pPr>
        <w:keepNext w:val="0"/>
        <w:keepLines w:val="0"/>
        <w:pageBreakBefore w:val="0"/>
        <w:widowControl w:val="0"/>
        <w:kinsoku/>
        <w:wordWrap/>
        <w:overflowPunct/>
        <w:topLinePunct w:val="0"/>
        <w:bidi w:val="0"/>
        <w:spacing w:line="600" w:lineRule="exact"/>
        <w:ind w:firstLine="643" w:firstLineChars="200"/>
        <w:textAlignment w:val="auto"/>
        <w:outlineLvl w:val="0"/>
        <w:rPr>
          <w:rFonts w:hint="default" w:ascii="Times New Roman" w:hAnsi="Times New Roman" w:eastAsia="黑体" w:cs="Times New Roman"/>
          <w:b/>
          <w:bCs/>
          <w:sz w:val="32"/>
          <w:szCs w:val="32"/>
        </w:rPr>
      </w:pPr>
      <w:bookmarkStart w:id="37" w:name="_Toc134609931"/>
      <w:r>
        <w:rPr>
          <w:rFonts w:hint="default" w:ascii="Times New Roman" w:hAnsi="Times New Roman" w:eastAsia="黑体" w:cs="Times New Roman"/>
          <w:b/>
          <w:bCs/>
          <w:sz w:val="32"/>
          <w:szCs w:val="32"/>
        </w:rPr>
        <w:t>6  应急处置和救援</w:t>
      </w:r>
      <w:bookmarkEnd w:id="37"/>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38" w:name="_Toc134609932"/>
      <w:r>
        <w:rPr>
          <w:rFonts w:hint="default" w:ascii="Times New Roman" w:hAnsi="Times New Roman" w:eastAsia="楷体_GB2312" w:cs="Times New Roman"/>
          <w:sz w:val="32"/>
          <w:szCs w:val="32"/>
        </w:rPr>
        <w:t>6.1  信息报告</w:t>
      </w:r>
      <w:bookmarkEnd w:id="38"/>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6.1.1  速报</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一旦发现或接报火情时，</w:t>
      </w:r>
      <w:r>
        <w:rPr>
          <w:rFonts w:hint="default" w:ascii="Times New Roman" w:hAnsi="Times New Roman" w:eastAsia="仿宋_GB2312" w:cs="Times New Roman"/>
          <w:sz w:val="32"/>
          <w:szCs w:val="32"/>
          <w:lang w:val="en-US" w:eastAsia="zh-CN"/>
        </w:rPr>
        <w:t>市应急指挥部</w:t>
      </w:r>
      <w:r>
        <w:rPr>
          <w:rFonts w:hint="default" w:ascii="Times New Roman" w:hAnsi="Times New Roman" w:eastAsia="仿宋_GB2312" w:cs="Times New Roman"/>
          <w:sz w:val="32"/>
          <w:szCs w:val="32"/>
        </w:rPr>
        <w:t>办公室要迅速了解和掌握森林火情，按照规范要求第一时间向苏州市森防指办公室报告火情和先期处置情况。必要时，可同时越级上报。</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速报内容主要包括火灾发生的时间、地点、类型、等级、伤亡人数、火情态势、扑救力量、火场及周边情况、可能引发因素、发展趋势以及先期处置情况等。</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国家和省委省政府对突发事件报告另有规定的从其规定执行。</w:t>
      </w:r>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6.1.2  续报和终报</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根据森林火灾发展变化、应急处置和救援工作进展，原速报单位加大续报工作力度，密切跟踪火情进展，随时上报最新信息，并做好终报工作。</w:t>
      </w:r>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6.1.3  </w:t>
      </w:r>
      <w:r>
        <w:rPr>
          <w:rFonts w:hint="default" w:ascii="Times New Roman" w:hAnsi="Times New Roman" w:eastAsia="仿宋_GB2312" w:cs="Times New Roman"/>
          <w:sz w:val="32"/>
          <w:szCs w:val="32"/>
          <w:lang w:val="en-US" w:eastAsia="zh-CN"/>
        </w:rPr>
        <w:t>市应急指挥部</w:t>
      </w:r>
      <w:r>
        <w:rPr>
          <w:rFonts w:hint="default" w:ascii="Times New Roman" w:hAnsi="Times New Roman" w:eastAsia="仿宋_GB2312" w:cs="Times New Roman"/>
          <w:sz w:val="32"/>
          <w:szCs w:val="32"/>
        </w:rPr>
        <w:t>对下列森林火灾应按有关规定立即报告上级森防指：延续半小时尚未扑灭的森林火灾；一般以上森林火灾；危及居民区和国家重要设施的森林火灾；威胁市级以上自然保护区、风景名胜区的森林火灾；危及县级行政区域交界地段的森林火灾；需要请求支援扑救的森林火灾。</w:t>
      </w:r>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6.1.4  </w:t>
      </w:r>
      <w:r>
        <w:rPr>
          <w:rFonts w:hint="default" w:ascii="Times New Roman" w:hAnsi="Times New Roman" w:eastAsia="仿宋_GB2312" w:cs="Times New Roman"/>
          <w:sz w:val="32"/>
          <w:szCs w:val="32"/>
          <w:lang w:val="en-US" w:eastAsia="zh-CN"/>
        </w:rPr>
        <w:t>市应急指挥部</w:t>
      </w:r>
      <w:r>
        <w:rPr>
          <w:rFonts w:hint="default" w:ascii="Times New Roman" w:hAnsi="Times New Roman" w:eastAsia="仿宋_GB2312" w:cs="Times New Roman"/>
          <w:sz w:val="32"/>
          <w:szCs w:val="32"/>
        </w:rPr>
        <w:t>办公室要按照《全国森林火灾统计系统》要求，做好火灾信息收集、汇总、分析和上报工作，其他相关部门应积极配合。</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39" w:name="_Toc134609933"/>
      <w:r>
        <w:rPr>
          <w:rFonts w:hint="default" w:ascii="Times New Roman" w:hAnsi="Times New Roman" w:eastAsia="楷体_GB2312" w:cs="Times New Roman"/>
          <w:sz w:val="32"/>
          <w:szCs w:val="32"/>
        </w:rPr>
        <w:t>6.2  应急响应</w:t>
      </w:r>
      <w:bookmarkEnd w:id="39"/>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火灾发生后，基层森林防灭火指挥机构第一时间采取措施，做到打早、打小、打了。初判发生一般森林火灾，由</w:t>
      </w:r>
      <w:r>
        <w:rPr>
          <w:rFonts w:hint="default" w:ascii="Times New Roman" w:hAnsi="Times New Roman" w:eastAsia="仿宋_GB2312" w:cs="Times New Roman"/>
          <w:sz w:val="32"/>
          <w:szCs w:val="32"/>
          <w:lang w:val="en-US" w:eastAsia="zh-CN"/>
        </w:rPr>
        <w:t>市应急指挥部</w:t>
      </w:r>
      <w:r>
        <w:rPr>
          <w:rFonts w:hint="default" w:ascii="Times New Roman" w:hAnsi="Times New Roman" w:eastAsia="仿宋_GB2312" w:cs="Times New Roman"/>
          <w:sz w:val="32"/>
          <w:szCs w:val="32"/>
        </w:rPr>
        <w:t>负责组织指挥，苏州市森防指负责协调、指导；初判发生较大以上森林火灾，由上级森防指负责组织指挥，</w:t>
      </w:r>
      <w:r>
        <w:rPr>
          <w:rFonts w:hint="default" w:ascii="Times New Roman" w:hAnsi="Times New Roman" w:eastAsia="仿宋_GB2312" w:cs="Times New Roman"/>
          <w:sz w:val="32"/>
          <w:szCs w:val="32"/>
          <w:lang w:val="en-US" w:eastAsia="zh-CN"/>
        </w:rPr>
        <w:t>市应急指挥部</w:t>
      </w:r>
      <w:r>
        <w:rPr>
          <w:rFonts w:hint="default" w:ascii="Times New Roman" w:hAnsi="Times New Roman" w:eastAsia="仿宋_GB2312" w:cs="Times New Roman"/>
          <w:sz w:val="32"/>
          <w:szCs w:val="32"/>
        </w:rPr>
        <w:t>在上级森防指的指导下开展应急处置工作。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根据火灾严重程度、火场发展态势和当地扑救情况，市级层面应急处置工作设定四级、三级、二级、一级四个响应等级，并通知市有关部门、火灾发生地区镇根据响应等级落实相应措施。</w:t>
      </w:r>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6.2.1  一级响应</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发生特别重大森林火灾时，按照有关规定及时向上级森防指报告并请求指导和支援，</w:t>
      </w:r>
      <w:r>
        <w:rPr>
          <w:rFonts w:hint="default" w:ascii="Times New Roman" w:hAnsi="Times New Roman" w:eastAsia="仿宋_GB2312" w:cs="Times New Roman"/>
          <w:sz w:val="32"/>
          <w:szCs w:val="32"/>
          <w:lang w:val="en-US" w:eastAsia="zh-CN"/>
        </w:rPr>
        <w:t>市应急指挥部</w:t>
      </w:r>
      <w:r>
        <w:rPr>
          <w:rFonts w:hint="default" w:ascii="Times New Roman" w:hAnsi="Times New Roman" w:eastAsia="仿宋_GB2312" w:cs="Times New Roman"/>
          <w:sz w:val="32"/>
          <w:szCs w:val="32"/>
        </w:rPr>
        <w:t>立即启动一级应急响应，并在上级森防指的指导下做好相关森林火灾扑救工作。</w:t>
      </w:r>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6.2.2  二级响应</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发生重大森林火灾时，按照有关规定及时向上级森防指报告并请求指导和支援，</w:t>
      </w:r>
      <w:r>
        <w:rPr>
          <w:rFonts w:hint="default" w:ascii="Times New Roman" w:hAnsi="Times New Roman" w:eastAsia="仿宋_GB2312" w:cs="Times New Roman"/>
          <w:sz w:val="32"/>
          <w:szCs w:val="32"/>
          <w:lang w:val="en-US" w:eastAsia="zh-CN"/>
        </w:rPr>
        <w:t>市应急指挥部</w:t>
      </w:r>
      <w:r>
        <w:rPr>
          <w:rFonts w:hint="default" w:ascii="Times New Roman" w:hAnsi="Times New Roman" w:eastAsia="仿宋_GB2312" w:cs="Times New Roman"/>
          <w:sz w:val="32"/>
          <w:szCs w:val="32"/>
        </w:rPr>
        <w:t>立即启动二级应急响应，并在上级森防指的指导下做好相关森林火灾扑救工作。</w:t>
      </w:r>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6.2.3  三级响应</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发生较大森林火灾时，按照有关规定及时向苏州市森防指报告并请求指导和支援，</w:t>
      </w:r>
      <w:r>
        <w:rPr>
          <w:rFonts w:hint="default" w:ascii="Times New Roman" w:hAnsi="Times New Roman" w:eastAsia="仿宋_GB2312" w:cs="Times New Roman"/>
          <w:sz w:val="32"/>
          <w:szCs w:val="32"/>
          <w:lang w:val="en-US" w:eastAsia="zh-CN"/>
        </w:rPr>
        <w:t>市应急指挥部</w:t>
      </w:r>
      <w:r>
        <w:rPr>
          <w:rFonts w:hint="default" w:ascii="Times New Roman" w:hAnsi="Times New Roman" w:eastAsia="仿宋_GB2312" w:cs="Times New Roman"/>
          <w:sz w:val="32"/>
          <w:szCs w:val="32"/>
        </w:rPr>
        <w:t>立即启动三级应急响应，在苏州市森防指的指导下做好相关森林火灾扑救工作。在移交指挥权之前，</w:t>
      </w:r>
      <w:r>
        <w:rPr>
          <w:rFonts w:hint="default" w:ascii="Times New Roman" w:hAnsi="Times New Roman" w:eastAsia="仿宋_GB2312" w:cs="Times New Roman"/>
          <w:sz w:val="32"/>
          <w:szCs w:val="32"/>
          <w:lang w:val="en-US" w:eastAsia="zh-CN"/>
        </w:rPr>
        <w:t>市应急指挥部</w:t>
      </w:r>
      <w:r>
        <w:rPr>
          <w:rFonts w:hint="default" w:ascii="Times New Roman" w:hAnsi="Times New Roman" w:eastAsia="仿宋_GB2312" w:cs="Times New Roman"/>
          <w:sz w:val="32"/>
          <w:szCs w:val="32"/>
        </w:rPr>
        <w:t>组织实施以下应急措施：</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（1）及时了解森林火灾最新情况，组织有关成员单位召开会议联合会商，分析火险形势；</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（2）设立扑火前线指挥部，拟定扑救方案，研究火灾扑救措施；</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（3）根据需要调动</w:t>
      </w:r>
      <w:bookmarkStart w:id="40" w:name="_Hlk43557036"/>
      <w:r>
        <w:rPr>
          <w:rFonts w:hint="default" w:ascii="Times New Roman" w:hAnsi="Times New Roman" w:eastAsia="仿宋_GB2312" w:cs="Times New Roman"/>
          <w:sz w:val="32"/>
          <w:szCs w:val="32"/>
        </w:rPr>
        <w:t>本区域内国家综合性消防救援队伍</w:t>
      </w:r>
      <w:bookmarkEnd w:id="40"/>
      <w:r>
        <w:rPr>
          <w:rFonts w:hint="default" w:ascii="Times New Roman" w:hAnsi="Times New Roman" w:eastAsia="仿宋_GB2312" w:cs="Times New Roman"/>
          <w:sz w:val="32"/>
          <w:szCs w:val="32"/>
        </w:rPr>
        <w:t>参加火灾扑救工作；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（4）根据火场气象条件，做好人工影响天气作业准备。</w:t>
      </w:r>
    </w:p>
    <w:p>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6.2.4  四级响应</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发生一般森林火灾时，及时向市政府、苏州市森防指报告，并向</w:t>
      </w:r>
      <w:r>
        <w:rPr>
          <w:rFonts w:hint="default" w:ascii="Times New Roman" w:hAnsi="Times New Roman" w:eastAsia="仿宋_GB2312" w:cs="Times New Roman"/>
          <w:sz w:val="32"/>
          <w:szCs w:val="32"/>
          <w:lang w:val="en-US" w:eastAsia="zh-CN"/>
        </w:rPr>
        <w:t>市应急指挥部</w:t>
      </w:r>
      <w:r>
        <w:rPr>
          <w:rFonts w:hint="default" w:ascii="Times New Roman" w:hAnsi="Times New Roman" w:eastAsia="仿宋_GB2312" w:cs="Times New Roman"/>
          <w:sz w:val="32"/>
          <w:szCs w:val="32"/>
        </w:rPr>
        <w:t>有关成员单位通报情况。</w:t>
      </w:r>
      <w:r>
        <w:rPr>
          <w:rFonts w:hint="default" w:ascii="Times New Roman" w:hAnsi="Times New Roman" w:eastAsia="仿宋_GB2312" w:cs="Times New Roman"/>
          <w:sz w:val="32"/>
          <w:szCs w:val="32"/>
          <w:lang w:val="en-US" w:eastAsia="zh-CN"/>
        </w:rPr>
        <w:t>市应急指挥部</w:t>
      </w:r>
      <w:r>
        <w:rPr>
          <w:rFonts w:hint="default" w:ascii="Times New Roman" w:hAnsi="Times New Roman" w:eastAsia="仿宋_GB2312" w:cs="Times New Roman"/>
          <w:sz w:val="32"/>
          <w:szCs w:val="32"/>
        </w:rPr>
        <w:t>立即启动四级应急响应，设立扑火前线指挥部，人员由</w:t>
      </w:r>
      <w:r>
        <w:rPr>
          <w:rFonts w:hint="default" w:ascii="Times New Roman" w:hAnsi="Times New Roman" w:eastAsia="仿宋_GB2312" w:cs="Times New Roman"/>
          <w:sz w:val="32"/>
          <w:szCs w:val="32"/>
          <w:lang w:val="en-US" w:eastAsia="zh-CN"/>
        </w:rPr>
        <w:t>市应急指挥部</w:t>
      </w:r>
      <w:r>
        <w:rPr>
          <w:rFonts w:hint="default" w:ascii="Times New Roman" w:hAnsi="Times New Roman" w:eastAsia="仿宋_GB2312" w:cs="Times New Roman"/>
          <w:sz w:val="32"/>
          <w:szCs w:val="32"/>
        </w:rPr>
        <w:t>有关成员单位和专家组成，负责现场指挥、组织、协调各成员单位按照各自职责开展火灾应急处置和救援工作，并组织实施以下应急措施：</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市应急指挥部</w:t>
      </w:r>
      <w:r>
        <w:rPr>
          <w:rFonts w:hint="default" w:ascii="Times New Roman" w:hAnsi="Times New Roman" w:eastAsia="仿宋_GB2312" w:cs="Times New Roman"/>
          <w:sz w:val="32"/>
          <w:szCs w:val="32"/>
        </w:rPr>
        <w:t>组织有关成员单位召开会议联合会商，分析火险形势，研究扑救措施及保障工作；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（2）根据火灾发生地区镇的请求，增派国家综合性消防救援队伍参加火灾扑救工作；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（3）根据需要请求协调民兵、预备役部队支援火灾扑救工作；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（4）协调做好扑火物资调拨运输、医疗卫生应急队伍增援等工作；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（5）协调相关媒体加强火灾及扑火救灾宣传报道。</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41" w:name="_Toc134609934"/>
      <w:r>
        <w:rPr>
          <w:rFonts w:hint="default" w:ascii="Times New Roman" w:hAnsi="Times New Roman" w:eastAsia="楷体_GB2312" w:cs="Times New Roman"/>
          <w:sz w:val="32"/>
          <w:szCs w:val="32"/>
        </w:rPr>
        <w:t>6.3  指挥原则</w:t>
      </w:r>
      <w:bookmarkEnd w:id="41"/>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区森林防灭火指挥机构根据需要，在森林火灾现场成立扑火前线指挥部；根据任务变化和救援力量规模，相应提高指挥等级。各扑火力量在现场扑火指挥部的统一调度指挥下，明确任务分工，落实扑救责任。现场指挥员要认真分析地理环境和火场态势，在扑火队伍行进、驻地选择和扑火作业时，时刻注意观察天气和火势的变化，确保扑火人员安全。</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全市国家综合性消防救援队伍执行本市行政区域内森林火灾扑救任务，接受市</w:t>
      </w:r>
      <w:r>
        <w:rPr>
          <w:rFonts w:hint="default" w:ascii="Times New Roman" w:hAnsi="Times New Roman" w:eastAsia="仿宋_GB2312" w:cs="Times New Roman"/>
          <w:sz w:val="32"/>
          <w:szCs w:val="32"/>
          <w:lang w:val="en-US" w:eastAsia="zh-CN"/>
        </w:rPr>
        <w:t>应急指挥部</w:t>
      </w:r>
      <w:r>
        <w:rPr>
          <w:rFonts w:hint="default" w:ascii="Times New Roman" w:hAnsi="Times New Roman" w:eastAsia="仿宋_GB2312" w:cs="Times New Roman"/>
          <w:sz w:val="32"/>
          <w:szCs w:val="32"/>
        </w:rPr>
        <w:t>的指挥。执行跨昆山市行政区域森林火灾扑救任务的，接受上级森防指的统一指挥。</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42" w:name="_Toc134609935"/>
      <w:r>
        <w:rPr>
          <w:rFonts w:hint="default" w:ascii="Times New Roman" w:hAnsi="Times New Roman" w:eastAsia="楷体_GB2312" w:cs="Times New Roman"/>
          <w:sz w:val="32"/>
          <w:szCs w:val="32"/>
        </w:rPr>
        <w:t>6.4  扑火方法</w:t>
      </w:r>
      <w:bookmarkEnd w:id="42"/>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在扑火战略上，尊重自然规律，采取“阻、打、清”相结合，做到快速出击、科学扑火，集中优势兵力打歼灭战。</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在扑火战术上，要采取整体围控，各个歼灭；重兵扑救，彻底清除；阻隔为主，正面扑救为辅等多种方式和手段进行扑救，减少森林资源损失。</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在扑火力量使用上，坚持以专业消防救援队伍力量为主，其它经过训练的或有组织的非专业力量为辅的原则。</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在落实责任制上，采取分段包干、划区包片的办法，建立扑火、清理和看守火场的责任制。</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43" w:name="_Toc134609936"/>
      <w:r>
        <w:rPr>
          <w:rFonts w:hint="default" w:ascii="Times New Roman" w:hAnsi="Times New Roman" w:eastAsia="楷体_GB2312" w:cs="Times New Roman"/>
          <w:sz w:val="32"/>
          <w:szCs w:val="32"/>
        </w:rPr>
        <w:t>6.5  转移安置</w:t>
      </w:r>
      <w:bookmarkEnd w:id="43"/>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属地区镇和森林经营单位应在林区居民区周围开设防火隔离带，预先制订紧急疏散方案，落实责任人，明确安全撤离路线和疏散临时居集地。当居民区、人员密集区受到森林火灾威胁时，及时采取有效阻火措施，有组织、有秩序地及时疏散居民、受威胁人员，确保人民群众生命安全。属地区镇人民政府（管委会）根据有关规定妥善做好受灾群众安置和灾后重建工作，并重点保证基础设施和安居工程的恢复重建。</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44" w:name="_Toc134609937"/>
      <w:r>
        <w:rPr>
          <w:rFonts w:hint="default" w:ascii="Times New Roman" w:hAnsi="Times New Roman" w:eastAsia="楷体_GB2312" w:cs="Times New Roman"/>
          <w:sz w:val="32"/>
          <w:szCs w:val="32"/>
        </w:rPr>
        <w:t>6.6  医疗救护</w:t>
      </w:r>
      <w:bookmarkEnd w:id="44"/>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因森林火灾造成人员伤亡时，积极开展救治工作。伤员由市卫健委安排医务人员进行救治，必要时市组织医疗专家组协助进行救治。</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45" w:name="_Toc134609938"/>
      <w:r>
        <w:rPr>
          <w:rFonts w:hint="default" w:ascii="Times New Roman" w:hAnsi="Times New Roman" w:eastAsia="楷体_GB2312" w:cs="Times New Roman"/>
          <w:sz w:val="32"/>
          <w:szCs w:val="32"/>
        </w:rPr>
        <w:t>6.7  保护目标</w:t>
      </w:r>
      <w:bookmarkEnd w:id="45"/>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当军事设施、危险化学品生产储存设备、输油气管道等重要目标物和重大危险源受到火灾威胁时，迅速调集专业队伍，在专业人员指导下，确保救援人员绝对安全的前提下全力消除威胁，确保目标安全。</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46" w:name="_Toc134609939"/>
      <w:r>
        <w:rPr>
          <w:rFonts w:hint="default" w:ascii="Times New Roman" w:hAnsi="Times New Roman" w:eastAsia="楷体_GB2312" w:cs="Times New Roman"/>
          <w:sz w:val="32"/>
          <w:szCs w:val="32"/>
        </w:rPr>
        <w:t>6.8  维护治安</w:t>
      </w:r>
      <w:bookmarkEnd w:id="46"/>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加强火灾受影响区域社会治安管理，严厉打击借机盗窃、抢劫、哄抢救灾物资、传播谣言等违法犯罪行为。在相关重要场所加强治安巡逻，维护社会稳定。</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47" w:name="_Toc134609940"/>
      <w:r>
        <w:rPr>
          <w:rFonts w:hint="default" w:ascii="Times New Roman" w:hAnsi="Times New Roman" w:eastAsia="楷体_GB2312" w:cs="Times New Roman"/>
          <w:sz w:val="32"/>
          <w:szCs w:val="32"/>
        </w:rPr>
        <w:t>6.9  火场清理</w:t>
      </w:r>
      <w:bookmarkEnd w:id="47"/>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森林火灾扑灭后，对火灾现场必须全面检查，消除余火，防止死灰复燃。由火灾发生地区镇和森林经营单位负责，统一安排足够人员监守火场，需经市</w:t>
      </w:r>
      <w:r>
        <w:rPr>
          <w:rFonts w:hint="default" w:ascii="Times New Roman" w:hAnsi="Times New Roman" w:eastAsia="仿宋_GB2312" w:cs="Times New Roman"/>
          <w:sz w:val="32"/>
          <w:szCs w:val="32"/>
          <w:lang w:val="en-US" w:eastAsia="zh-CN"/>
        </w:rPr>
        <w:t>应急指挥部</w:t>
      </w:r>
      <w:r>
        <w:rPr>
          <w:rFonts w:hint="default" w:ascii="Times New Roman" w:hAnsi="Times New Roman" w:eastAsia="仿宋_GB2312" w:cs="Times New Roman"/>
          <w:sz w:val="32"/>
          <w:szCs w:val="32"/>
        </w:rPr>
        <w:t>办公室检查同意后方可撤离，原则上需看守48小时以上。</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48" w:name="_Toc134609941"/>
      <w:r>
        <w:rPr>
          <w:rFonts w:hint="default" w:ascii="Times New Roman" w:hAnsi="Times New Roman" w:eastAsia="楷体_GB2312" w:cs="Times New Roman"/>
          <w:sz w:val="32"/>
          <w:szCs w:val="32"/>
        </w:rPr>
        <w:t>6.10  信息发布</w:t>
      </w:r>
      <w:bookmarkEnd w:id="48"/>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森林火灾的信息发布应当及时、准确、客观、全面。各级森林火灾和扑火动态等信息发布，按国家有关规定执行。</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各新闻单位对森林火灾的报道要严格按照有关要求进行，做到统一组织、把握时机、真实准确、注重实效。森林火灾的受害面积、人员伤亡、经济损失等情况须经省或市级森防指核准后再进行报道。</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信息发布形式主要包括授权发布、发布新闻通稿、组织报道、接受记者采访、举行新闻发布会等，具体由相关宣传部门组织协调。</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49" w:name="_Toc134609942"/>
      <w:r>
        <w:rPr>
          <w:rFonts w:hint="default" w:ascii="Times New Roman" w:hAnsi="Times New Roman" w:eastAsia="楷体_GB2312" w:cs="Times New Roman"/>
          <w:sz w:val="32"/>
          <w:szCs w:val="32"/>
        </w:rPr>
        <w:t>6.11  应急结束</w:t>
      </w:r>
      <w:bookmarkEnd w:id="49"/>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森林火灾扑救工作结束后，火场清理验收合格、次生灾害后果基本消除后，由</w:t>
      </w:r>
      <w:r>
        <w:rPr>
          <w:rFonts w:hint="default" w:ascii="Times New Roman" w:hAnsi="Times New Roman" w:eastAsia="仿宋_GB2312" w:cs="Times New Roman"/>
          <w:sz w:val="32"/>
          <w:szCs w:val="32"/>
          <w:lang w:val="en-US" w:eastAsia="zh-CN"/>
        </w:rPr>
        <w:t>属地</w:t>
      </w:r>
      <w:r>
        <w:rPr>
          <w:rFonts w:hint="default" w:ascii="Times New Roman" w:hAnsi="Times New Roman" w:eastAsia="仿宋_GB2312" w:cs="Times New Roman"/>
          <w:sz w:val="32"/>
          <w:szCs w:val="32"/>
        </w:rPr>
        <w:t>森林防灭火指挥机构提出建议，按启动响应的相应权限终止响应，并通知相关单位或部门。</w:t>
      </w:r>
    </w:p>
    <w:p>
      <w:pPr>
        <w:keepNext w:val="0"/>
        <w:keepLines w:val="0"/>
        <w:pageBreakBefore w:val="0"/>
        <w:widowControl w:val="0"/>
        <w:kinsoku/>
        <w:wordWrap/>
        <w:overflowPunct/>
        <w:topLinePunct w:val="0"/>
        <w:bidi w:val="0"/>
        <w:spacing w:line="600" w:lineRule="exact"/>
        <w:ind w:firstLine="643" w:firstLineChars="200"/>
        <w:textAlignment w:val="auto"/>
        <w:outlineLvl w:val="0"/>
        <w:rPr>
          <w:rFonts w:hint="default" w:ascii="Times New Roman" w:hAnsi="Times New Roman" w:eastAsia="黑体" w:cs="Times New Roman"/>
          <w:b/>
          <w:bCs/>
          <w:sz w:val="32"/>
          <w:szCs w:val="32"/>
        </w:rPr>
      </w:pPr>
      <w:bookmarkStart w:id="50" w:name="_Toc134609943"/>
      <w:r>
        <w:rPr>
          <w:rFonts w:hint="default" w:ascii="Times New Roman" w:hAnsi="Times New Roman" w:eastAsia="黑体" w:cs="Times New Roman"/>
          <w:b/>
          <w:bCs/>
          <w:sz w:val="32"/>
          <w:szCs w:val="32"/>
        </w:rPr>
        <w:t>7  后期处置</w:t>
      </w:r>
      <w:bookmarkEnd w:id="50"/>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51" w:name="_Toc134609944"/>
      <w:r>
        <w:rPr>
          <w:rFonts w:hint="default" w:ascii="Times New Roman" w:hAnsi="Times New Roman" w:eastAsia="楷体_GB2312" w:cs="Times New Roman"/>
          <w:sz w:val="32"/>
          <w:szCs w:val="32"/>
        </w:rPr>
        <w:t>7.1  火灾评估</w:t>
      </w:r>
      <w:bookmarkEnd w:id="51"/>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市公安局对森林火灾发生原因、肇事者等情况进行调查，林业及相关部门（或委托第三方）对受害森林面积和蓄积、人员伤亡、其他经济损失等情况进行调查和评估，向市政府提交评估报告。</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52" w:name="_Toc134609945"/>
      <w:r>
        <w:rPr>
          <w:rFonts w:hint="default" w:ascii="Times New Roman" w:hAnsi="Times New Roman" w:eastAsia="楷体_GB2312" w:cs="Times New Roman"/>
          <w:sz w:val="32"/>
          <w:szCs w:val="32"/>
        </w:rPr>
        <w:t>7.2  工作总结</w:t>
      </w:r>
      <w:bookmarkEnd w:id="52"/>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扑火工作结束后，要及时进行全面工作总结，重点是总结分析火灾发生的原因和应吸取的经验教训，提出改进措施。</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53" w:name="_Toc134609946"/>
      <w:r>
        <w:rPr>
          <w:rFonts w:hint="default" w:ascii="Times New Roman" w:hAnsi="Times New Roman" w:eastAsia="楷体_GB2312" w:cs="Times New Roman"/>
          <w:sz w:val="32"/>
          <w:szCs w:val="32"/>
        </w:rPr>
        <w:t>7.3  奖惩问责</w:t>
      </w:r>
      <w:bookmarkEnd w:id="53"/>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根据有关法律法规，对在扑火工作中贡献突出的单位和个人给予表彰和奖励；对在火灾事故中负有责任的人员追究责任。</w:t>
      </w:r>
    </w:p>
    <w:p>
      <w:pPr>
        <w:keepNext w:val="0"/>
        <w:keepLines w:val="0"/>
        <w:pageBreakBefore w:val="0"/>
        <w:widowControl w:val="0"/>
        <w:kinsoku/>
        <w:wordWrap/>
        <w:overflowPunct/>
        <w:topLinePunct w:val="0"/>
        <w:bidi w:val="0"/>
        <w:spacing w:line="600" w:lineRule="exact"/>
        <w:ind w:firstLine="643" w:firstLineChars="200"/>
        <w:textAlignment w:val="auto"/>
        <w:outlineLvl w:val="0"/>
        <w:rPr>
          <w:rFonts w:hint="default" w:ascii="Times New Roman" w:hAnsi="Times New Roman" w:eastAsia="黑体" w:cs="Times New Roman"/>
          <w:b/>
          <w:bCs/>
          <w:sz w:val="32"/>
          <w:szCs w:val="32"/>
        </w:rPr>
      </w:pPr>
      <w:bookmarkStart w:id="54" w:name="_Toc134609947"/>
      <w:r>
        <w:rPr>
          <w:rFonts w:hint="default" w:ascii="Times New Roman" w:hAnsi="Times New Roman" w:eastAsia="黑体" w:cs="Times New Roman"/>
          <w:b/>
          <w:bCs/>
          <w:sz w:val="32"/>
          <w:szCs w:val="32"/>
        </w:rPr>
        <w:t>8  应急保障</w:t>
      </w:r>
      <w:bookmarkEnd w:id="54"/>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55" w:name="_Toc134609948"/>
      <w:r>
        <w:rPr>
          <w:rFonts w:hint="default" w:ascii="Times New Roman" w:hAnsi="Times New Roman" w:eastAsia="楷体_GB2312" w:cs="Times New Roman"/>
          <w:sz w:val="32"/>
          <w:szCs w:val="32"/>
        </w:rPr>
        <w:t>8.1  通信保障</w:t>
      </w:r>
      <w:bookmarkEnd w:id="55"/>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市、区镇两级与火场的森林防灭火通信网络和火场应急通信保障体系，配备与扑火需要相适应的通信设备和通信指挥车。要充分利用现代通信手段，把有线电话、卫星电话、移动电话、无线电台及互联网等有机结合起来，发挥社会基础通信设施的作用，为扑火工作提供通信与信息保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56" w:name="_Toc134609949"/>
      <w:r>
        <w:rPr>
          <w:rFonts w:hint="default" w:ascii="Times New Roman" w:hAnsi="Times New Roman" w:eastAsia="楷体_GB2312" w:cs="Times New Roman"/>
          <w:sz w:val="32"/>
          <w:szCs w:val="32"/>
        </w:rPr>
        <w:t>8.2  队伍保障</w:t>
      </w:r>
      <w:bookmarkEnd w:id="56"/>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市、区镇两级消防救援队伍建设。在坚持重点武装专业扑火力量的同时，也要重视后备扑火力量的准备，保证有足够的扑火梯队。各种扑火力量要在当地森林防灭火指挥机构的统一组织指挥下，互相支援、积极配合、协同作战。</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57" w:name="_Toc134609950"/>
      <w:r>
        <w:rPr>
          <w:rFonts w:hint="default" w:ascii="Times New Roman" w:hAnsi="Times New Roman" w:eastAsia="楷体_GB2312" w:cs="Times New Roman"/>
          <w:sz w:val="32"/>
          <w:szCs w:val="32"/>
        </w:rPr>
        <w:t>8.3  物资保障</w:t>
      </w:r>
      <w:bookmarkEnd w:id="57"/>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市、区镇应根据林业发展、森林资源保护和应对森林火灾发生的形势和要求，进一步提高装备水平。森林经营单位应建立相应的森林防火物资储备库，储备足够的扑火机具、物资和装备。</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58" w:name="_Toc134609951"/>
      <w:r>
        <w:rPr>
          <w:rFonts w:hint="default" w:ascii="Times New Roman" w:hAnsi="Times New Roman" w:eastAsia="楷体_GB2312" w:cs="Times New Roman"/>
          <w:sz w:val="32"/>
          <w:szCs w:val="32"/>
        </w:rPr>
        <w:t>8.4  资金保障</w:t>
      </w:r>
      <w:bookmarkEnd w:id="58"/>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市政府应当将森林防灭火基础设施建设纳入本级国民经济和社会发展规划，保障森林防灭火所需支出。</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59" w:name="_Toc134609952"/>
      <w:r>
        <w:rPr>
          <w:rFonts w:hint="default" w:ascii="Times New Roman" w:hAnsi="Times New Roman" w:eastAsia="楷体_GB2312" w:cs="Times New Roman"/>
          <w:sz w:val="32"/>
          <w:szCs w:val="32"/>
        </w:rPr>
        <w:t>8.5  交通运输保障</w:t>
      </w:r>
      <w:bookmarkEnd w:id="59"/>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市公安局负责对灾情现场实行道路交通管制，市交通运输局负责加强运输保障，为森林火灾紧急处置工作提供快速、高效、顺畅的交通保障。森林火灾发生后，根据需要组织开设应急救援“绿色通道”； 道路设施受损时，各道路管养部门迅速组织专业队伍进行抢修，尽快恢复良好状态；根据救灾需要，及时开展水上和空中紧急运输；加强交通战备建设，确保应急组织和调集交通工具，紧急输送、疏散人员和物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60" w:name="_Toc134609953"/>
      <w:r>
        <w:rPr>
          <w:rFonts w:hint="default" w:ascii="Times New Roman" w:hAnsi="Times New Roman" w:eastAsia="楷体_GB2312" w:cs="Times New Roman"/>
          <w:sz w:val="32"/>
          <w:szCs w:val="32"/>
        </w:rPr>
        <w:t>8.6  治安保障</w:t>
      </w:r>
      <w:bookmarkEnd w:id="60"/>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森林火灾发生后，要立即在扑火现场周围设立警戒区和警戒哨，维持秩序，必要时及时疏散受灾群众；对重要场所、目标和扑火设施、装备加强警卫。</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市公安局负责应急处置工作中的治安保障，当地武警予以协助和配合，并负责相关内卫工作。火灾发生地区镇要积极发动和组织群众，开展群防联防，协助市公安局实施治安保障工作。</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61" w:name="_Toc134609954"/>
      <w:r>
        <w:rPr>
          <w:rFonts w:hint="default" w:ascii="Times New Roman" w:hAnsi="Times New Roman" w:eastAsia="楷体_GB2312" w:cs="Times New Roman"/>
          <w:sz w:val="32"/>
          <w:szCs w:val="32"/>
        </w:rPr>
        <w:t>8.7  技术保障</w:t>
      </w:r>
      <w:bookmarkEnd w:id="61"/>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市气象局为扑火工作提供火场气象保障服务，包括火场天气实况、天气预报、火险警报等技术保障。市</w:t>
      </w:r>
      <w:r>
        <w:rPr>
          <w:rFonts w:hint="default" w:ascii="Times New Roman" w:hAnsi="Times New Roman" w:eastAsia="仿宋_GB2312" w:cs="Times New Roman"/>
          <w:sz w:val="32"/>
          <w:szCs w:val="32"/>
          <w:lang w:val="en-US" w:eastAsia="zh-CN"/>
        </w:rPr>
        <w:t>应急</w:t>
      </w:r>
      <w:r>
        <w:rPr>
          <w:rFonts w:hint="default" w:ascii="Times New Roman" w:hAnsi="Times New Roman" w:eastAsia="仿宋_GB2312" w:cs="Times New Roman"/>
          <w:sz w:val="32"/>
          <w:szCs w:val="32"/>
        </w:rPr>
        <w:t>指挥部根据工作需要会同有关部门和单位建立本级专家组，对森林火灾的预防、灭火组织指挥、力量调动使用、灭火措施、火灾调查评估等提出咨询意见。加快建立森林火灾处置所需的地理信息系统和指挥系统，投入应急的后续支援和技术支援。</w:t>
      </w:r>
    </w:p>
    <w:p>
      <w:pPr>
        <w:keepNext w:val="0"/>
        <w:keepLines w:val="0"/>
        <w:pageBreakBefore w:val="0"/>
        <w:widowControl w:val="0"/>
        <w:kinsoku/>
        <w:wordWrap/>
        <w:overflowPunct/>
        <w:topLinePunct w:val="0"/>
        <w:bidi w:val="0"/>
        <w:spacing w:line="600" w:lineRule="exact"/>
        <w:ind w:firstLine="643" w:firstLineChars="200"/>
        <w:textAlignment w:val="auto"/>
        <w:outlineLvl w:val="0"/>
        <w:rPr>
          <w:rFonts w:hint="default" w:ascii="Times New Roman" w:hAnsi="Times New Roman" w:eastAsia="黑体" w:cs="Times New Roman"/>
          <w:b/>
          <w:bCs/>
          <w:sz w:val="32"/>
          <w:szCs w:val="32"/>
        </w:rPr>
      </w:pPr>
      <w:bookmarkStart w:id="62" w:name="_Toc134609955"/>
      <w:r>
        <w:rPr>
          <w:rFonts w:hint="default" w:ascii="Times New Roman" w:hAnsi="Times New Roman" w:eastAsia="黑体" w:cs="Times New Roman"/>
          <w:b/>
          <w:bCs/>
          <w:sz w:val="32"/>
          <w:szCs w:val="32"/>
        </w:rPr>
        <w:t>9  预案管理</w:t>
      </w:r>
      <w:bookmarkEnd w:id="62"/>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63" w:name="_Toc134609956"/>
      <w:r>
        <w:rPr>
          <w:rFonts w:hint="default" w:ascii="Times New Roman" w:hAnsi="Times New Roman" w:eastAsia="楷体_GB2312" w:cs="Times New Roman"/>
          <w:sz w:val="32"/>
          <w:szCs w:val="32"/>
        </w:rPr>
        <w:t>9.1  预案编制</w:t>
      </w:r>
      <w:bookmarkEnd w:id="63"/>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本预案由市应急管理局会同市有关部门制定，并根据情况变化及时修订，报市政府批准后实施，并报上一级人民政府应急管理部门备案。</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64" w:name="_Toc134609957"/>
      <w:r>
        <w:rPr>
          <w:rFonts w:hint="default" w:ascii="Times New Roman" w:hAnsi="Times New Roman" w:eastAsia="楷体_GB2312" w:cs="Times New Roman"/>
          <w:sz w:val="32"/>
          <w:szCs w:val="32"/>
        </w:rPr>
        <w:t>9.2  预案演练</w:t>
      </w:r>
      <w:bookmarkEnd w:id="64"/>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森林所在区镇和有关部门、森林经营单位按照应急预案，定期开展不同类型的实战演练，提高防范和处置森林火灾的技能，增强实战能力。</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65" w:name="_Toc131618062"/>
      <w:bookmarkStart w:id="66" w:name="_Toc348"/>
      <w:bookmarkStart w:id="67" w:name="_Toc134609958"/>
      <w:r>
        <w:rPr>
          <w:rFonts w:hint="default" w:ascii="Times New Roman" w:hAnsi="Times New Roman" w:eastAsia="楷体_GB2312" w:cs="Times New Roman"/>
          <w:sz w:val="32"/>
          <w:szCs w:val="32"/>
        </w:rPr>
        <w:t>9.3  预案评估与修订</w:t>
      </w:r>
      <w:bookmarkEnd w:id="65"/>
      <w:bookmarkEnd w:id="66"/>
      <w:bookmarkEnd w:id="67"/>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bookmarkStart w:id="68" w:name="_Hlk134611732"/>
      <w:r>
        <w:rPr>
          <w:rFonts w:hint="default" w:ascii="Times New Roman" w:hAnsi="Times New Roman" w:eastAsia="仿宋_GB2312" w:cs="Times New Roman"/>
          <w:sz w:val="32"/>
          <w:szCs w:val="32"/>
        </w:rPr>
        <w:t>预案实施后，市应急管理局应当适时召集有关部门和专家进行评估，并视情况变化做出相应修改后报市政府审批。</w:t>
      </w:r>
      <w:bookmarkEnd w:id="68"/>
      <w:r>
        <w:rPr>
          <w:rFonts w:hint="default" w:ascii="Times New Roman" w:hAnsi="Times New Roman" w:eastAsia="仿宋_GB2312" w:cs="Times New Roman"/>
          <w:sz w:val="32"/>
          <w:szCs w:val="32"/>
        </w:rPr>
        <w:t>本预案应当至少每3年修订一次。有下列情形之一的，应当及时修订应急预案：</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（1）有关法律、行政法规、规章、标准、上位预案中的有关规定发生变化的；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（2）应急指挥机构及其职责发生重大调整的；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（3）面临的风险发生重大变化的；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（4）重要应急资源发生重大变化的；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（5）预案中的其他重要信息发生变化的；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（6）在处置森林火灾和应急演练中发现问题需要作出重大调整的；</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（7）应急预案制定单位认为应当修订的其他情况。</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预案修订涉及组织指挥体系与职责、应急处置程序、主要处置措施、突发事件分级标准等重要内容的，修订工作应参照本预案规定的预案编制、审批、备案、公布程序组织进行。仅涉及其他内容的，修订程序可根据情况适当简化。</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各区镇及有关部门、企事业单位、社会团体、公民等，可以向有关预案编制单位提出修订意见。</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69" w:name="_Toc134609959"/>
      <w:r>
        <w:rPr>
          <w:rFonts w:hint="default" w:ascii="Times New Roman" w:hAnsi="Times New Roman" w:eastAsia="楷体_GB2312" w:cs="Times New Roman"/>
          <w:sz w:val="32"/>
          <w:szCs w:val="32"/>
        </w:rPr>
        <w:t>9.4  宣传教育和培训</w:t>
      </w:r>
      <w:bookmarkEnd w:id="69"/>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区镇及有关部门要广泛宣传森林防灭火有关法律法规，普及扑火安全常识。要有计划地开展扑火指挥员和扑火队员以及森林经营单位干部职工的扑火指挥、扑火技战术和安全知识的培训，加强实战训练和扑火演习，提高扑火队伍的综合素质和扑火作战能力，向人民群众宣传普及避火安全常识。对消防救援队伍、民兵、预备役等森林扑火力量配备一定的扑火机具，进行必要的扑火知识讲座和训练，以保证高素质的扑火后备力量。</w:t>
      </w:r>
    </w:p>
    <w:p>
      <w:pPr>
        <w:keepNext w:val="0"/>
        <w:keepLines w:val="0"/>
        <w:pageBreakBefore w:val="0"/>
        <w:widowControl w:val="0"/>
        <w:kinsoku/>
        <w:wordWrap/>
        <w:overflowPunct/>
        <w:topLinePunct w:val="0"/>
        <w:bidi w:val="0"/>
        <w:spacing w:line="600" w:lineRule="exact"/>
        <w:ind w:firstLine="643" w:firstLineChars="200"/>
        <w:textAlignment w:val="auto"/>
        <w:outlineLvl w:val="0"/>
        <w:rPr>
          <w:rFonts w:hint="default" w:ascii="Times New Roman" w:hAnsi="Times New Roman" w:eastAsia="黑体" w:cs="Times New Roman"/>
          <w:b/>
          <w:bCs/>
          <w:sz w:val="32"/>
          <w:szCs w:val="32"/>
        </w:rPr>
      </w:pPr>
      <w:bookmarkStart w:id="70" w:name="_Toc134609960"/>
      <w:r>
        <w:rPr>
          <w:rFonts w:hint="default" w:ascii="Times New Roman" w:hAnsi="Times New Roman" w:eastAsia="黑体" w:cs="Times New Roman"/>
          <w:b/>
          <w:bCs/>
          <w:sz w:val="32"/>
          <w:szCs w:val="32"/>
        </w:rPr>
        <w:t>10  附则</w:t>
      </w:r>
      <w:bookmarkEnd w:id="70"/>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71" w:name="_Toc134609962"/>
      <w:bookmarkStart w:id="72" w:name="_Toc15621"/>
      <w:r>
        <w:rPr>
          <w:rFonts w:hint="default" w:ascii="Times New Roman" w:hAnsi="Times New Roman" w:eastAsia="楷体_GB2312" w:cs="Times New Roman"/>
          <w:sz w:val="32"/>
          <w:szCs w:val="32"/>
        </w:rPr>
        <w:t>10.1  奖励与责任</w:t>
      </w:r>
      <w:bookmarkEnd w:id="71"/>
      <w:bookmarkEnd w:id="72"/>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处置森林火灾工作中做出突出贡献的先进集体和个人，按照有关规定给予表彰和奖励；对在抗震救灾工作中玩忽职守造成损失的，严重虚报、瞒报灾情的，依据国家有关法律法规追究当事人的责任，构成犯罪的，依法追究其刑事责任。</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73" w:name="_Toc134609963"/>
      <w:r>
        <w:rPr>
          <w:rFonts w:hint="default" w:ascii="Times New Roman" w:hAnsi="Times New Roman" w:eastAsia="楷体_GB2312" w:cs="Times New Roman"/>
          <w:sz w:val="32"/>
          <w:szCs w:val="32"/>
        </w:rPr>
        <w:t>10.2  制定与解释</w:t>
      </w:r>
      <w:bookmarkEnd w:id="73"/>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本预案由昆山市应急管理局负责编制，报市政府批准后组织实施。本预案由昆山市应急管理局负责解释。</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outlineLvl w:val="1"/>
        <w:rPr>
          <w:rFonts w:hint="default" w:ascii="Times New Roman" w:hAnsi="Times New Roman" w:eastAsia="楷体_GB2312" w:cs="Times New Roman"/>
          <w:sz w:val="32"/>
          <w:szCs w:val="32"/>
        </w:rPr>
      </w:pPr>
      <w:bookmarkStart w:id="74" w:name="_Toc134609964"/>
      <w:r>
        <w:rPr>
          <w:rFonts w:hint="default" w:ascii="Times New Roman" w:hAnsi="Times New Roman" w:eastAsia="楷体_GB2312" w:cs="Times New Roman"/>
          <w:sz w:val="32"/>
          <w:szCs w:val="32"/>
        </w:rPr>
        <w:t xml:space="preserve">10.3  </w:t>
      </w:r>
      <w:bookmarkEnd w:id="74"/>
      <w:r>
        <w:rPr>
          <w:rFonts w:hint="default" w:ascii="Times New Roman" w:hAnsi="Times New Roman" w:eastAsia="楷体_GB2312" w:cs="Times New Roman"/>
          <w:sz w:val="32"/>
          <w:szCs w:val="32"/>
        </w:rPr>
        <w:t>实施时间</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本预案自印发之日起实施。</w:t>
      </w:r>
    </w:p>
    <w:p>
      <w:pPr>
        <w:widowControl/>
        <w:jc w:val="left"/>
        <w:rPr>
          <w:rFonts w:hint="default" w:ascii="Times New Roman" w:hAnsi="Times New Roman" w:cs="Times New Roman"/>
          <w:sz w:val="28"/>
          <w:szCs w:val="28"/>
        </w:rPr>
      </w:pPr>
      <w:r>
        <w:rPr>
          <w:rFonts w:hint="default" w:ascii="Times New Roman" w:hAnsi="Times New Roman" w:cs="Times New Roman"/>
          <w:sz w:val="28"/>
          <w:szCs w:val="28"/>
        </w:rPr>
        <w:br w:type="page"/>
      </w:r>
    </w:p>
    <w:p>
      <w:pPr>
        <w:pStyle w:val="3"/>
        <w:keepNext w:val="0"/>
        <w:keepLines w:val="0"/>
        <w:overflowPunct w:val="0"/>
        <w:adjustRightInd w:val="0"/>
        <w:snapToGrid w:val="0"/>
        <w:spacing w:before="0" w:after="0" w:line="600" w:lineRule="exact"/>
        <w:ind w:firstLine="640" w:firstLineChars="200"/>
        <w:rPr>
          <w:rFonts w:hint="default" w:ascii="Times New Roman" w:hAnsi="Times New Roman" w:cs="Times New Roman"/>
          <w:bCs w:val="0"/>
          <w:sz w:val="32"/>
          <w:szCs w:val="32"/>
        </w:rPr>
      </w:pPr>
      <w:bookmarkStart w:id="75" w:name="_Toc134609965"/>
      <w:bookmarkStart w:id="76" w:name="_Toc26508"/>
      <w:bookmarkStart w:id="77" w:name="_Toc26716"/>
      <w:r>
        <w:rPr>
          <w:rFonts w:hint="default" w:ascii="Times New Roman" w:hAnsi="Times New Roman" w:cs="Times New Roman"/>
          <w:bCs w:val="0"/>
          <w:sz w:val="32"/>
          <w:szCs w:val="32"/>
        </w:rPr>
        <w:t>附件</w:t>
      </w:r>
      <w:bookmarkEnd w:id="75"/>
      <w:bookmarkEnd w:id="76"/>
      <w:bookmarkEnd w:id="77"/>
    </w:p>
    <w:p>
      <w:pPr>
        <w:autoSpaceDE w:val="0"/>
        <w:autoSpaceDN w:val="0"/>
        <w:snapToGrid w:val="0"/>
        <w:spacing w:line="600" w:lineRule="exact"/>
        <w:ind w:firstLine="640" w:firstLineChars="200"/>
        <w:jc w:val="left"/>
        <w:outlineLvl w:val="1"/>
        <w:rPr>
          <w:rFonts w:hint="default" w:ascii="Times New Roman" w:hAnsi="Times New Roman" w:eastAsia="楷体_GB2312" w:cs="Times New Roman"/>
          <w:sz w:val="32"/>
          <w:szCs w:val="32"/>
        </w:rPr>
      </w:pPr>
      <w:bookmarkStart w:id="78" w:name="_Toc15058"/>
      <w:bookmarkStart w:id="79" w:name="_Toc4014"/>
      <w:bookmarkStart w:id="80" w:name="_Toc10480"/>
      <w:bookmarkStart w:id="81" w:name="_Toc25929"/>
      <w:bookmarkStart w:id="82" w:name="_Toc27526"/>
      <w:bookmarkStart w:id="83" w:name="_Toc134609966"/>
      <w:r>
        <w:rPr>
          <w:rFonts w:hint="default" w:ascii="Times New Roman" w:hAnsi="Times New Roman" w:eastAsia="楷体_GB2312" w:cs="Times New Roman"/>
          <w:sz w:val="32"/>
          <w:szCs w:val="32"/>
        </w:rPr>
        <w:t xml:space="preserve">附件1  </w:t>
      </w:r>
      <w:bookmarkEnd w:id="78"/>
      <w:bookmarkEnd w:id="79"/>
      <w:bookmarkEnd w:id="80"/>
      <w:bookmarkEnd w:id="81"/>
      <w:bookmarkEnd w:id="82"/>
      <w:r>
        <w:rPr>
          <w:rFonts w:hint="default" w:ascii="Times New Roman" w:hAnsi="Times New Roman" w:eastAsia="楷体_GB2312" w:cs="Times New Roman"/>
          <w:sz w:val="32"/>
          <w:szCs w:val="32"/>
        </w:rPr>
        <w:t>昆山市森林火灾应急指挥体系图</w:t>
      </w:r>
      <w:bookmarkEnd w:id="83"/>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r>
        <w:rPr>
          <w:rFonts w:hint="default" w:ascii="Times New Roman" w:hAnsi="Times New Roman" w:eastAsia="楷体" w:cs="Times New Roman"/>
          <w:szCs w:val="21"/>
        </w:rPr>
        <mc:AlternateContent>
          <mc:Choice Requires="wpg">
            <w:drawing>
              <wp:anchor distT="0" distB="0" distL="114300" distR="114300" simplePos="0" relativeHeight="251659264" behindDoc="0" locked="0" layoutInCell="1" allowOverlap="1">
                <wp:simplePos x="0" y="0"/>
                <wp:positionH relativeFrom="column">
                  <wp:posOffset>693420</wp:posOffset>
                </wp:positionH>
                <wp:positionV relativeFrom="paragraph">
                  <wp:posOffset>64135</wp:posOffset>
                </wp:positionV>
                <wp:extent cx="4358005" cy="4170045"/>
                <wp:effectExtent l="0" t="0" r="23495" b="20955"/>
                <wp:wrapNone/>
                <wp:docPr id="218495454" name="组合 3"/>
                <wp:cNvGraphicFramePr/>
                <a:graphic xmlns:a="http://schemas.openxmlformats.org/drawingml/2006/main">
                  <a:graphicData uri="http://schemas.microsoft.com/office/word/2010/wordprocessingGroup">
                    <wpg:wgp>
                      <wpg:cNvGrpSpPr/>
                      <wpg:grpSpPr>
                        <a:xfrm>
                          <a:off x="0" y="0"/>
                          <a:ext cx="4358005" cy="4170045"/>
                          <a:chOff x="0" y="0"/>
                          <a:chExt cx="4357752" cy="4170045"/>
                        </a:xfrm>
                        <a:effectLst/>
                      </wpg:grpSpPr>
                      <wpg:grpSp>
                        <wpg:cNvPr id="1431006427" name="组合 2"/>
                        <wpg:cNvGrpSpPr/>
                        <wpg:grpSpPr>
                          <a:xfrm>
                            <a:off x="311150" y="2914650"/>
                            <a:ext cx="3675380" cy="1255395"/>
                            <a:chOff x="0" y="0"/>
                            <a:chExt cx="3675380" cy="1255395"/>
                          </a:xfrm>
                          <a:effectLst/>
                        </wpg:grpSpPr>
                        <wps:wsp>
                          <wps:cNvPr id="96472558" name="文本框 1"/>
                          <wps:cNvSpPr txBox="1"/>
                          <wps:spPr>
                            <a:xfrm>
                              <a:off x="0" y="425450"/>
                              <a:ext cx="303530" cy="822960"/>
                            </a:xfrm>
                            <a:prstGeom prst="rect">
                              <a:avLst/>
                            </a:prstGeom>
                            <a:noFill/>
                            <a:ln w="12700">
                              <a:solidFill>
                                <a:prstClr val="black"/>
                              </a:solidFill>
                            </a:ln>
                            <a:effectLst/>
                          </wps:spPr>
                          <wps:txbx>
                            <w:txbxContent>
                              <w:p>
                                <w:pPr>
                                  <w:adjustRightInd w:val="0"/>
                                  <w:snapToGrid w:val="0"/>
                                  <w:jc w:val="center"/>
                                  <w:rPr>
                                    <w:rFonts w:ascii="方正仿宋_GBK" w:eastAsia="方正仿宋_GBK"/>
                                    <w:b/>
                                    <w:bCs/>
                                    <w:szCs w:val="21"/>
                                  </w:rPr>
                                </w:pPr>
                                <w:r>
                                  <w:rPr>
                                    <w:rFonts w:hint="eastAsia" w:ascii="仿宋_GB2312" w:hAnsi="仿宋_GB2312" w:eastAsia="仿宋_GB2312" w:cs="仿宋_GB2312"/>
                                    <w:b/>
                                    <w:bCs/>
                                    <w:szCs w:val="21"/>
                                  </w:rPr>
                                  <w:t>综合协调组</w:t>
                                </w:r>
                              </w:p>
                            </w:txbxContent>
                          </wps:txbx>
                          <wps:bodyPr rot="0" spcFirstLastPara="0" vertOverflow="overflow" horzOverflow="overflow" vert="eaVert" wrap="square" lIns="36000" tIns="36000" rIns="36000" bIns="36000" numCol="1" spcCol="0" rtlCol="0" fromWordArt="0" anchor="t" anchorCtr="0" forceAA="0" compatLnSpc="1">
                            <a:noAutofit/>
                          </wps:bodyPr>
                        </wps:wsp>
                        <wps:wsp>
                          <wps:cNvPr id="2011604845" name="文本框 1"/>
                          <wps:cNvSpPr txBox="1"/>
                          <wps:spPr>
                            <a:xfrm>
                              <a:off x="1676400" y="425450"/>
                              <a:ext cx="303530" cy="822960"/>
                            </a:xfrm>
                            <a:prstGeom prst="rect">
                              <a:avLst/>
                            </a:prstGeom>
                            <a:noFill/>
                            <a:ln w="12700">
                              <a:solidFill>
                                <a:prstClr val="black"/>
                              </a:solidFill>
                            </a:ln>
                            <a:effectLst/>
                          </wps:spPr>
                          <wps:txbx>
                            <w:txbxContent>
                              <w:p>
                                <w:pPr>
                                  <w:adjustRightInd w:val="0"/>
                                  <w:snapToGrid w:val="0"/>
                                  <w:jc w:val="center"/>
                                  <w:rPr>
                                    <w:rFonts w:ascii="方正仿宋_GBK" w:eastAsia="方正仿宋_GBK"/>
                                    <w:b/>
                                    <w:bCs/>
                                    <w:szCs w:val="21"/>
                                  </w:rPr>
                                </w:pPr>
                                <w:r>
                                  <w:rPr>
                                    <w:rFonts w:hint="eastAsia" w:ascii="仿宋_GB2312" w:hAnsi="仿宋_GB2312" w:eastAsia="仿宋_GB2312" w:cs="仿宋_GB2312"/>
                                    <w:b/>
                                    <w:bCs/>
                                    <w:szCs w:val="21"/>
                                  </w:rPr>
                                  <w:t>后勤保障组</w:t>
                                </w:r>
                              </w:p>
                              <w:p>
                                <w:pPr>
                                  <w:ind w:firstLine="422"/>
                                  <w:rPr>
                                    <w:szCs w:val="21"/>
                                  </w:rPr>
                                </w:pPr>
                                <w:r>
                                  <w:rPr>
                                    <w:rFonts w:hint="eastAsia" w:ascii="方正仿宋_GBK"/>
                                    <w:b/>
                                    <w:bCs/>
                                    <w:szCs w:val="21"/>
                                  </w:rPr>
                                  <w:t>综合协调组</w:t>
                                </w:r>
                              </w:p>
                            </w:txbxContent>
                          </wps:txbx>
                          <wps:bodyPr rot="0" spcFirstLastPara="0" vertOverflow="overflow" horzOverflow="overflow" vert="eaVert" wrap="square" lIns="36000" tIns="36000" rIns="36000" bIns="36000" numCol="1" spcCol="0" rtlCol="0" fromWordArt="0" anchor="t" anchorCtr="0" forceAA="0" compatLnSpc="1">
                            <a:noAutofit/>
                          </wps:bodyPr>
                        </wps:wsp>
                        <wps:wsp>
                          <wps:cNvPr id="2128628829" name="文本框 1"/>
                          <wps:cNvSpPr txBox="1"/>
                          <wps:spPr>
                            <a:xfrm>
                              <a:off x="1257300" y="425450"/>
                              <a:ext cx="303530" cy="822960"/>
                            </a:xfrm>
                            <a:prstGeom prst="rect">
                              <a:avLst/>
                            </a:prstGeom>
                            <a:noFill/>
                            <a:ln w="12700">
                              <a:solidFill>
                                <a:prstClr val="black"/>
                              </a:solidFill>
                            </a:ln>
                            <a:effectLst/>
                          </wps:spPr>
                          <wps:txbx>
                            <w:txbxContent>
                              <w:p>
                                <w:pPr>
                                  <w:adjustRightInd w:val="0"/>
                                  <w:snapToGrid w:val="0"/>
                                  <w:jc w:val="center"/>
                                  <w:rPr>
                                    <w:rFonts w:ascii="方正仿宋_GBK" w:eastAsia="方正仿宋_GBK"/>
                                    <w:b/>
                                    <w:bCs/>
                                    <w:szCs w:val="21"/>
                                  </w:rPr>
                                </w:pPr>
                                <w:r>
                                  <w:rPr>
                                    <w:rFonts w:hint="eastAsia" w:ascii="仿宋_GB2312" w:hAnsi="仿宋_GB2312" w:eastAsia="仿宋_GB2312" w:cs="仿宋_GB2312"/>
                                    <w:b/>
                                    <w:bCs/>
                                    <w:szCs w:val="21"/>
                                  </w:rPr>
                                  <w:t>疏散警戒组</w:t>
                                </w:r>
                              </w:p>
                              <w:p>
                                <w:pPr>
                                  <w:ind w:firstLine="422"/>
                                  <w:rPr>
                                    <w:szCs w:val="21"/>
                                  </w:rPr>
                                </w:pPr>
                                <w:r>
                                  <w:rPr>
                                    <w:rFonts w:hint="eastAsia" w:ascii="方正仿宋_GBK"/>
                                    <w:b/>
                                    <w:bCs/>
                                    <w:szCs w:val="21"/>
                                  </w:rPr>
                                  <w:t>综合协调组</w:t>
                                </w:r>
                              </w:p>
                            </w:txbxContent>
                          </wps:txbx>
                          <wps:bodyPr rot="0" spcFirstLastPara="0" vertOverflow="overflow" horzOverflow="overflow" vert="eaVert" wrap="square" lIns="36000" tIns="36000" rIns="36000" bIns="36000" numCol="1" spcCol="0" rtlCol="0" fromWordArt="0" anchor="t" anchorCtr="0" forceAA="0" compatLnSpc="1">
                            <a:noAutofit/>
                          </wps:bodyPr>
                        </wps:wsp>
                        <wps:wsp>
                          <wps:cNvPr id="2003455953" name="文本框 1"/>
                          <wps:cNvSpPr txBox="1"/>
                          <wps:spPr>
                            <a:xfrm>
                              <a:off x="844550" y="425450"/>
                              <a:ext cx="303530" cy="822960"/>
                            </a:xfrm>
                            <a:prstGeom prst="rect">
                              <a:avLst/>
                            </a:prstGeom>
                            <a:noFill/>
                            <a:ln w="12700">
                              <a:solidFill>
                                <a:prstClr val="black"/>
                              </a:solidFill>
                            </a:ln>
                            <a:effectLst/>
                          </wps:spPr>
                          <wps:txbx>
                            <w:txbxContent>
                              <w:p>
                                <w:pPr>
                                  <w:adjustRightInd w:val="0"/>
                                  <w:snapToGrid w:val="0"/>
                                  <w:jc w:val="center"/>
                                  <w:rPr>
                                    <w:rFonts w:ascii="方正仿宋_GBK" w:eastAsia="方正仿宋_GBK"/>
                                    <w:b/>
                                    <w:bCs/>
                                    <w:szCs w:val="21"/>
                                  </w:rPr>
                                </w:pPr>
                                <w:r>
                                  <w:rPr>
                                    <w:rFonts w:hint="eastAsia" w:ascii="仿宋_GB2312" w:hAnsi="仿宋_GB2312" w:eastAsia="仿宋_GB2312" w:cs="仿宋_GB2312"/>
                                    <w:b/>
                                    <w:bCs/>
                                    <w:szCs w:val="21"/>
                                  </w:rPr>
                                  <w:t>通讯保障组</w:t>
                                </w:r>
                              </w:p>
                              <w:p>
                                <w:pPr>
                                  <w:snapToGrid w:val="0"/>
                                  <w:ind w:firstLine="422"/>
                                  <w:jc w:val="center"/>
                                  <w:rPr>
                                    <w:szCs w:val="21"/>
                                  </w:rPr>
                                </w:pPr>
                                <w:r>
                                  <w:rPr>
                                    <w:rFonts w:hint="eastAsia" w:ascii="方正仿宋_GBK"/>
                                    <w:b/>
                                    <w:bCs/>
                                    <w:szCs w:val="21"/>
                                  </w:rPr>
                                  <w:t>综合协调组</w:t>
                                </w:r>
                              </w:p>
                            </w:txbxContent>
                          </wps:txbx>
                          <wps:bodyPr rot="0" spcFirstLastPara="0" vertOverflow="overflow" horzOverflow="overflow" vert="eaVert" wrap="square" lIns="36000" tIns="36000" rIns="36000" bIns="36000" numCol="1" spcCol="0" rtlCol="0" fromWordArt="0" anchor="t" anchorCtr="0" forceAA="0" compatLnSpc="1">
                            <a:noAutofit/>
                          </wps:bodyPr>
                        </wps:wsp>
                        <wps:wsp>
                          <wps:cNvPr id="765537422" name="文本框 1"/>
                          <wps:cNvSpPr txBox="1"/>
                          <wps:spPr>
                            <a:xfrm>
                              <a:off x="419100" y="425450"/>
                              <a:ext cx="303530" cy="822960"/>
                            </a:xfrm>
                            <a:prstGeom prst="rect">
                              <a:avLst/>
                            </a:prstGeom>
                            <a:noFill/>
                            <a:ln w="12700">
                              <a:solidFill>
                                <a:prstClr val="black"/>
                              </a:solidFill>
                            </a:ln>
                            <a:effectLst/>
                          </wps:spPr>
                          <wps:txbx>
                            <w:txbxContent>
                              <w:p>
                                <w:pPr>
                                  <w:adjustRightInd w:val="0"/>
                                  <w:snapToGrid w:val="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抢险救援组</w:t>
                                </w:r>
                              </w:p>
                              <w:p>
                                <w:pPr>
                                  <w:adjustRightInd w:val="0"/>
                                  <w:snapToGrid w:val="0"/>
                                  <w:jc w:val="center"/>
                                  <w:rPr>
                                    <w:b/>
                                    <w:bCs/>
                                    <w:szCs w:val="21"/>
                                  </w:rPr>
                                </w:pPr>
                              </w:p>
                            </w:txbxContent>
                          </wps:txbx>
                          <wps:bodyPr rot="0" spcFirstLastPara="0" vertOverflow="overflow" horzOverflow="overflow" vert="eaVert" wrap="square" lIns="36000" tIns="36000" rIns="36000" bIns="36000" numCol="1" spcCol="0" rtlCol="0" fromWordArt="0" anchor="t" anchorCtr="0" forceAA="0" compatLnSpc="1">
                            <a:noAutofit/>
                          </wps:bodyPr>
                        </wps:wsp>
                        <wps:wsp>
                          <wps:cNvPr id="467822400" name="文本框 1"/>
                          <wps:cNvSpPr txBox="1"/>
                          <wps:spPr>
                            <a:xfrm>
                              <a:off x="2940050" y="425450"/>
                              <a:ext cx="303530" cy="822960"/>
                            </a:xfrm>
                            <a:prstGeom prst="rect">
                              <a:avLst/>
                            </a:prstGeom>
                            <a:noFill/>
                            <a:ln w="12700">
                              <a:solidFill>
                                <a:prstClr val="black"/>
                              </a:solidFill>
                            </a:ln>
                            <a:effectLst/>
                          </wps:spPr>
                          <wps:txbx>
                            <w:txbxContent>
                              <w:p>
                                <w:pPr>
                                  <w:adjustRightInd w:val="0"/>
                                  <w:snapToGrid w:val="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转移安置组</w:t>
                                </w:r>
                              </w:p>
                            </w:txbxContent>
                          </wps:txbx>
                          <wps:bodyPr rot="0" spcFirstLastPara="0" vertOverflow="overflow" horzOverflow="overflow" vert="eaVert" wrap="square" lIns="36000" tIns="36000" rIns="36000" bIns="36000" numCol="1" spcCol="0" rtlCol="0" fromWordArt="0" anchor="t" anchorCtr="0" forceAA="0" compatLnSpc="1">
                            <a:noAutofit/>
                          </wps:bodyPr>
                        </wps:wsp>
                        <wps:wsp>
                          <wps:cNvPr id="2019882382" name="文本框 1"/>
                          <wps:cNvSpPr txBox="1"/>
                          <wps:spPr>
                            <a:xfrm>
                              <a:off x="2520950" y="425450"/>
                              <a:ext cx="303530" cy="822960"/>
                            </a:xfrm>
                            <a:prstGeom prst="rect">
                              <a:avLst/>
                            </a:prstGeom>
                            <a:noFill/>
                            <a:ln w="12700">
                              <a:solidFill>
                                <a:prstClr val="black"/>
                              </a:solidFill>
                            </a:ln>
                            <a:effectLst/>
                          </wps:spPr>
                          <wps:txbx>
                            <w:txbxContent>
                              <w:p>
                                <w:pPr>
                                  <w:adjustRightInd w:val="0"/>
                                  <w:snapToGrid w:val="0"/>
                                  <w:jc w:val="center"/>
                                  <w:rPr>
                                    <w:rFonts w:ascii="方正仿宋_GBK" w:eastAsia="方正仿宋_GBK"/>
                                    <w:b/>
                                    <w:bCs/>
                                    <w:szCs w:val="21"/>
                                  </w:rPr>
                                </w:pPr>
                                <w:r>
                                  <w:rPr>
                                    <w:rFonts w:hint="eastAsia" w:ascii="仿宋_GB2312" w:hAnsi="仿宋_GB2312" w:eastAsia="仿宋_GB2312" w:cs="仿宋_GB2312"/>
                                    <w:b/>
                                    <w:bCs/>
                                    <w:szCs w:val="21"/>
                                  </w:rPr>
                                  <w:t>医疗救护组</w:t>
                                </w:r>
                              </w:p>
                              <w:p>
                                <w:pPr>
                                  <w:ind w:firstLine="422"/>
                                  <w:jc w:val="center"/>
                                  <w:rPr>
                                    <w:szCs w:val="21"/>
                                  </w:rPr>
                                </w:pPr>
                                <w:r>
                                  <w:rPr>
                                    <w:rFonts w:hint="eastAsia" w:ascii="方正仿宋_GBK"/>
                                    <w:b/>
                                    <w:bCs/>
                                    <w:szCs w:val="21"/>
                                  </w:rPr>
                                  <w:t>综合协调组</w:t>
                                </w:r>
                              </w:p>
                            </w:txbxContent>
                          </wps:txbx>
                          <wps:bodyPr rot="0" spcFirstLastPara="0" vertOverflow="overflow" horzOverflow="overflow" vert="eaVert" wrap="square" lIns="36000" tIns="36000" rIns="36000" bIns="36000" numCol="1" spcCol="0" rtlCol="0" fromWordArt="0" anchor="t" anchorCtr="0" forceAA="0" compatLnSpc="1">
                            <a:noAutofit/>
                          </wps:bodyPr>
                        </wps:wsp>
                        <wps:wsp>
                          <wps:cNvPr id="1736337272" name="直接箭头连接符 4"/>
                          <wps:cNvCnPr/>
                          <wps:spPr>
                            <a:xfrm flipH="1">
                              <a:off x="146050" y="0"/>
                              <a:ext cx="0" cy="430530"/>
                            </a:xfrm>
                            <a:prstGeom prst="straightConnector1">
                              <a:avLst/>
                            </a:prstGeom>
                            <a:noFill/>
                            <a:ln w="12700" cap="flat" cmpd="sng" algn="ctr">
                              <a:solidFill>
                                <a:schemeClr val="tx1"/>
                              </a:solidFill>
                              <a:prstDash val="solid"/>
                              <a:tailEnd type="triangle"/>
                            </a:ln>
                            <a:effectLst/>
                          </wps:spPr>
                          <wps:bodyPr/>
                        </wps:wsp>
                        <wps:wsp>
                          <wps:cNvPr id="1036013137" name="直接箭头连接符 4"/>
                          <wps:cNvCnPr/>
                          <wps:spPr>
                            <a:xfrm flipH="1">
                              <a:off x="571500" y="0"/>
                              <a:ext cx="0" cy="430530"/>
                            </a:xfrm>
                            <a:prstGeom prst="straightConnector1">
                              <a:avLst/>
                            </a:prstGeom>
                            <a:noFill/>
                            <a:ln w="12700" cap="flat" cmpd="sng" algn="ctr">
                              <a:solidFill>
                                <a:schemeClr val="tx1"/>
                              </a:solidFill>
                              <a:prstDash val="solid"/>
                              <a:tailEnd type="triangle"/>
                            </a:ln>
                            <a:effectLst/>
                          </wps:spPr>
                          <wps:bodyPr/>
                        </wps:wsp>
                        <wps:wsp>
                          <wps:cNvPr id="465959053" name="直接箭头连接符 4"/>
                          <wps:cNvCnPr/>
                          <wps:spPr>
                            <a:xfrm flipH="1">
                              <a:off x="984250" y="0"/>
                              <a:ext cx="0" cy="430530"/>
                            </a:xfrm>
                            <a:prstGeom prst="straightConnector1">
                              <a:avLst/>
                            </a:prstGeom>
                            <a:noFill/>
                            <a:ln w="12700" cap="flat" cmpd="sng" algn="ctr">
                              <a:solidFill>
                                <a:schemeClr val="tx1"/>
                              </a:solidFill>
                              <a:prstDash val="solid"/>
                              <a:tailEnd type="triangle"/>
                            </a:ln>
                            <a:effectLst/>
                          </wps:spPr>
                          <wps:bodyPr/>
                        </wps:wsp>
                        <wps:wsp>
                          <wps:cNvPr id="901390170" name="直接箭头连接符 4"/>
                          <wps:cNvCnPr/>
                          <wps:spPr>
                            <a:xfrm flipH="1">
                              <a:off x="1403350" y="0"/>
                              <a:ext cx="0" cy="430530"/>
                            </a:xfrm>
                            <a:prstGeom prst="straightConnector1">
                              <a:avLst/>
                            </a:prstGeom>
                            <a:noFill/>
                            <a:ln w="12700" cap="flat" cmpd="sng" algn="ctr">
                              <a:solidFill>
                                <a:schemeClr val="tx1"/>
                              </a:solidFill>
                              <a:prstDash val="solid"/>
                              <a:tailEnd type="triangle"/>
                            </a:ln>
                            <a:effectLst/>
                          </wps:spPr>
                          <wps:bodyPr/>
                        </wps:wsp>
                        <wps:wsp>
                          <wps:cNvPr id="493646430" name="直接箭头连接符 4"/>
                          <wps:cNvCnPr/>
                          <wps:spPr>
                            <a:xfrm flipH="1">
                              <a:off x="1822450" y="0"/>
                              <a:ext cx="0" cy="430530"/>
                            </a:xfrm>
                            <a:prstGeom prst="straightConnector1">
                              <a:avLst/>
                            </a:prstGeom>
                            <a:noFill/>
                            <a:ln w="12700" cap="flat" cmpd="sng" algn="ctr">
                              <a:solidFill>
                                <a:schemeClr val="tx1"/>
                              </a:solidFill>
                              <a:prstDash val="solid"/>
                              <a:tailEnd type="triangle"/>
                            </a:ln>
                            <a:effectLst/>
                          </wps:spPr>
                          <wps:bodyPr/>
                        </wps:wsp>
                        <wps:wsp>
                          <wps:cNvPr id="896651783" name="直接箭头连接符 4"/>
                          <wps:cNvCnPr/>
                          <wps:spPr>
                            <a:xfrm flipH="1">
                              <a:off x="2241550" y="0"/>
                              <a:ext cx="0" cy="430530"/>
                            </a:xfrm>
                            <a:prstGeom prst="straightConnector1">
                              <a:avLst/>
                            </a:prstGeom>
                            <a:noFill/>
                            <a:ln w="12700" cap="flat" cmpd="sng" algn="ctr">
                              <a:solidFill>
                                <a:schemeClr val="tx1"/>
                              </a:solidFill>
                              <a:prstDash val="solid"/>
                              <a:tailEnd type="triangle"/>
                            </a:ln>
                            <a:effectLst/>
                          </wps:spPr>
                          <wps:bodyPr/>
                        </wps:wsp>
                        <wps:wsp>
                          <wps:cNvPr id="220182531" name="直接箭头连接符 4"/>
                          <wps:cNvCnPr/>
                          <wps:spPr>
                            <a:xfrm flipH="1">
                              <a:off x="2667000" y="0"/>
                              <a:ext cx="0" cy="430530"/>
                            </a:xfrm>
                            <a:prstGeom prst="straightConnector1">
                              <a:avLst/>
                            </a:prstGeom>
                            <a:noFill/>
                            <a:ln w="12700" cap="flat" cmpd="sng" algn="ctr">
                              <a:solidFill>
                                <a:schemeClr val="tx1"/>
                              </a:solidFill>
                              <a:prstDash val="solid"/>
                              <a:tailEnd type="triangle"/>
                            </a:ln>
                            <a:effectLst/>
                          </wps:spPr>
                          <wps:bodyPr/>
                        </wps:wsp>
                        <wps:wsp>
                          <wps:cNvPr id="42900821" name="直接箭头连接符 4"/>
                          <wps:cNvCnPr/>
                          <wps:spPr>
                            <a:xfrm flipH="1">
                              <a:off x="3086100" y="0"/>
                              <a:ext cx="0" cy="430530"/>
                            </a:xfrm>
                            <a:prstGeom prst="straightConnector1">
                              <a:avLst/>
                            </a:prstGeom>
                            <a:noFill/>
                            <a:ln w="12700" cap="flat" cmpd="sng" algn="ctr">
                              <a:solidFill>
                                <a:schemeClr val="tx1"/>
                              </a:solidFill>
                              <a:prstDash val="solid"/>
                              <a:tailEnd type="triangle"/>
                            </a:ln>
                            <a:effectLst/>
                          </wps:spPr>
                          <wps:bodyPr/>
                        </wps:wsp>
                        <wps:wsp>
                          <wps:cNvPr id="679656434" name="直接箭头连接符 4"/>
                          <wps:cNvCnPr/>
                          <wps:spPr>
                            <a:xfrm flipH="1">
                              <a:off x="3511550" y="6350"/>
                              <a:ext cx="0" cy="430530"/>
                            </a:xfrm>
                            <a:prstGeom prst="straightConnector1">
                              <a:avLst/>
                            </a:prstGeom>
                            <a:noFill/>
                            <a:ln w="12700" cap="flat" cmpd="sng" algn="ctr">
                              <a:solidFill>
                                <a:schemeClr val="tx1"/>
                              </a:solidFill>
                              <a:prstDash val="solid"/>
                              <a:tailEnd type="triangle"/>
                            </a:ln>
                            <a:effectLst/>
                          </wps:spPr>
                          <wps:bodyPr/>
                        </wps:wsp>
                        <wps:wsp>
                          <wps:cNvPr id="214883618" name="文本框 1"/>
                          <wps:cNvSpPr txBox="1"/>
                          <wps:spPr>
                            <a:xfrm>
                              <a:off x="3371850" y="431800"/>
                              <a:ext cx="303530" cy="823595"/>
                            </a:xfrm>
                            <a:prstGeom prst="rect">
                              <a:avLst/>
                            </a:prstGeom>
                            <a:noFill/>
                            <a:ln w="12700">
                              <a:solidFill>
                                <a:prstClr val="black"/>
                              </a:solidFill>
                            </a:ln>
                            <a:effectLst/>
                          </wps:spPr>
                          <wps:txbx>
                            <w:txbxContent>
                              <w:p>
                                <w:pPr>
                                  <w:adjustRightInd w:val="0"/>
                                  <w:snapToGrid w:val="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专家咨询组</w:t>
                                </w:r>
                              </w:p>
                            </w:txbxContent>
                          </wps:txbx>
                          <wps:bodyPr rot="0" spcFirstLastPara="0" vertOverflow="overflow" horzOverflow="overflow" vert="eaVert" wrap="square" lIns="36000" tIns="36000" rIns="36000" bIns="36000" numCol="1" spcCol="0" rtlCol="0" fromWordArt="0" anchor="t" anchorCtr="0" forceAA="0" compatLnSpc="1">
                            <a:noAutofit/>
                          </wps:bodyPr>
                        </wps:wsp>
                        <wps:wsp>
                          <wps:cNvPr id="1229153109" name="文本框 1"/>
                          <wps:cNvSpPr txBox="1"/>
                          <wps:spPr>
                            <a:xfrm>
                              <a:off x="2095500" y="419100"/>
                              <a:ext cx="303530" cy="826770"/>
                            </a:xfrm>
                            <a:prstGeom prst="rect">
                              <a:avLst/>
                            </a:prstGeom>
                            <a:noFill/>
                            <a:ln w="12700">
                              <a:solidFill>
                                <a:prstClr val="black"/>
                              </a:solidFill>
                            </a:ln>
                            <a:effectLst/>
                          </wps:spPr>
                          <wps:txbx>
                            <w:txbxContent>
                              <w:p>
                                <w:pPr>
                                  <w:adjustRightInd w:val="0"/>
                                  <w:snapToGrid w:val="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信息发布组</w:t>
                                </w:r>
                              </w:p>
                            </w:txbxContent>
                          </wps:txbx>
                          <wps:bodyPr rot="0" spcFirstLastPara="0" vertOverflow="overflow" horzOverflow="overflow" vert="eaVert" wrap="square" lIns="36000" tIns="36000" rIns="36000" bIns="36000" numCol="1" spcCol="0" rtlCol="0" fromWordArt="0" anchor="t" anchorCtr="0" forceAA="0" compatLnSpc="1">
                            <a:noAutofit/>
                          </wps:bodyPr>
                        </wps:wsp>
                        <wps:wsp>
                          <wps:cNvPr id="919081893" name="直接连接符 1"/>
                          <wps:cNvCnPr/>
                          <wps:spPr>
                            <a:xfrm>
                              <a:off x="139700" y="6350"/>
                              <a:ext cx="3366135" cy="0"/>
                            </a:xfrm>
                            <a:prstGeom prst="line">
                              <a:avLst/>
                            </a:prstGeom>
                            <a:noFill/>
                            <a:ln w="12700" cap="flat" cmpd="sng" algn="ctr">
                              <a:solidFill>
                                <a:schemeClr val="tx1"/>
                              </a:solidFill>
                              <a:prstDash val="solid"/>
                            </a:ln>
                            <a:effectLst/>
                          </wps:spPr>
                          <wps:bodyPr/>
                        </wps:wsp>
                      </wpg:grpSp>
                      <wpg:grpSp>
                        <wpg:cNvPr id="1544680819" name="组合 1"/>
                        <wpg:cNvGrpSpPr/>
                        <wpg:grpSpPr>
                          <a:xfrm>
                            <a:off x="0" y="0"/>
                            <a:ext cx="4357752" cy="2939150"/>
                            <a:chOff x="0" y="0"/>
                            <a:chExt cx="4357752" cy="2939150"/>
                          </a:xfrm>
                          <a:effectLst/>
                        </wpg:grpSpPr>
                        <wps:wsp>
                          <wps:cNvPr id="1896249529" name="文本框 3"/>
                          <wps:cNvSpPr txBox="1"/>
                          <wps:spPr>
                            <a:xfrm>
                              <a:off x="1568450" y="0"/>
                              <a:ext cx="1115695" cy="341630"/>
                            </a:xfrm>
                            <a:prstGeom prst="rect">
                              <a:avLst/>
                            </a:prstGeom>
                            <a:solidFill>
                              <a:srgbClr val="FFFFFF"/>
                            </a:solidFill>
                            <a:ln w="12700">
                              <a:solidFill>
                                <a:srgbClr val="000000"/>
                              </a:solidFill>
                            </a:ln>
                            <a:effectLst/>
                          </wps:spPr>
                          <wps:txb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昆山市政府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81432762" name="直接箭头连接符 7"/>
                          <wps:cNvCnPr/>
                          <wps:spPr>
                            <a:xfrm>
                              <a:off x="2127250" y="336550"/>
                              <a:ext cx="0" cy="360000"/>
                            </a:xfrm>
                            <a:prstGeom prst="straightConnector1">
                              <a:avLst/>
                            </a:prstGeom>
                            <a:noFill/>
                            <a:ln w="12700" cap="flat" cmpd="sng" algn="ctr">
                              <a:solidFill>
                                <a:schemeClr val="tx1"/>
                              </a:solidFill>
                              <a:prstDash val="solid"/>
                              <a:tailEnd type="triangle"/>
                            </a:ln>
                            <a:effectLst/>
                          </wps:spPr>
                          <wps:bodyPr/>
                        </wps:wsp>
                        <wps:wsp>
                          <wps:cNvPr id="395611570" name="文本框 3"/>
                          <wps:cNvSpPr txBox="1"/>
                          <wps:spPr>
                            <a:xfrm>
                              <a:off x="1073150" y="698500"/>
                              <a:ext cx="2141969" cy="341885"/>
                            </a:xfrm>
                            <a:prstGeom prst="rect">
                              <a:avLst/>
                            </a:prstGeom>
                            <a:solidFill>
                              <a:srgbClr val="FFFFFF"/>
                            </a:solidFill>
                            <a:ln w="12700">
                              <a:solidFill>
                                <a:srgbClr val="000000"/>
                              </a:solidFill>
                            </a:ln>
                            <a:effectLst/>
                          </wps:spPr>
                          <wps:txbx>
                            <w:txbxContent>
                              <w:p>
                                <w:pPr>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昆山市森林火灾应急指挥部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52764867" name="直接箭头连接符 2"/>
                          <wps:cNvCnPr/>
                          <wps:spPr>
                            <a:xfrm flipH="1">
                              <a:off x="2120900" y="1041400"/>
                              <a:ext cx="0" cy="1209600"/>
                            </a:xfrm>
                            <a:prstGeom prst="straightConnector1">
                              <a:avLst/>
                            </a:prstGeom>
                            <a:noFill/>
                            <a:ln w="12700" cap="flat" cmpd="sng" algn="ctr">
                              <a:solidFill>
                                <a:srgbClr val="000000"/>
                              </a:solidFill>
                              <a:prstDash val="solid"/>
                              <a:tailEnd type="triangle"/>
                            </a:ln>
                            <a:effectLst/>
                          </wps:spPr>
                          <wps:bodyPr/>
                        </wps:wsp>
                        <wps:wsp>
                          <wps:cNvPr id="604733817" name="文本框 3"/>
                          <wps:cNvSpPr txBox="1"/>
                          <wps:spPr>
                            <a:xfrm>
                              <a:off x="3041650" y="1295400"/>
                              <a:ext cx="1316102" cy="341885"/>
                            </a:xfrm>
                            <a:prstGeom prst="rect">
                              <a:avLst/>
                            </a:prstGeom>
                            <a:solidFill>
                              <a:srgbClr val="FFFFFF"/>
                            </a:solidFill>
                            <a:ln w="12700">
                              <a:solidFill>
                                <a:srgbClr val="000000"/>
                              </a:solidFill>
                            </a:ln>
                            <a:effectLst/>
                          </wps:spPr>
                          <wps:txb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应急指挥部办公室</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1504642648" name="直接箭头连接符 3"/>
                          <wps:cNvCnPr/>
                          <wps:spPr>
                            <a:xfrm flipH="1" flipV="1">
                              <a:off x="2127250" y="1466850"/>
                              <a:ext cx="900000" cy="0"/>
                            </a:xfrm>
                            <a:prstGeom prst="straightConnector1">
                              <a:avLst/>
                            </a:prstGeom>
                            <a:noFill/>
                            <a:ln w="12700" cap="flat" cmpd="sng" algn="ctr">
                              <a:solidFill>
                                <a:schemeClr val="tx1"/>
                              </a:solidFill>
                              <a:prstDash val="solid"/>
                              <a:tailEnd type="triangle"/>
                            </a:ln>
                            <a:effectLst/>
                          </wps:spPr>
                          <wps:bodyPr/>
                        </wps:wsp>
                        <wps:wsp>
                          <wps:cNvPr id="577823693" name="直接连接符 1"/>
                          <wps:cNvCnPr/>
                          <wps:spPr>
                            <a:xfrm>
                              <a:off x="508000" y="1835150"/>
                              <a:ext cx="3203575" cy="0"/>
                            </a:xfrm>
                            <a:prstGeom prst="line">
                              <a:avLst/>
                            </a:prstGeom>
                            <a:noFill/>
                            <a:ln w="12700" cap="flat" cmpd="sng" algn="ctr">
                              <a:solidFill>
                                <a:schemeClr val="tx1"/>
                              </a:solidFill>
                              <a:prstDash val="solid"/>
                            </a:ln>
                            <a:effectLst/>
                          </wps:spPr>
                          <wps:bodyPr/>
                        </wps:wsp>
                        <wps:wsp>
                          <wps:cNvPr id="1091792817" name="直接箭头连接符 4"/>
                          <wps:cNvCnPr/>
                          <wps:spPr>
                            <a:xfrm flipH="1">
                              <a:off x="508000" y="1841500"/>
                              <a:ext cx="0" cy="395605"/>
                            </a:xfrm>
                            <a:prstGeom prst="straightConnector1">
                              <a:avLst/>
                            </a:prstGeom>
                            <a:noFill/>
                            <a:ln w="12700" cap="flat" cmpd="sng" algn="ctr">
                              <a:solidFill>
                                <a:schemeClr val="tx1"/>
                              </a:solidFill>
                              <a:prstDash val="solid"/>
                              <a:tailEnd type="triangle"/>
                            </a:ln>
                            <a:effectLst/>
                          </wps:spPr>
                          <wps:bodyPr/>
                        </wps:wsp>
                        <wps:wsp>
                          <wps:cNvPr id="1423083544" name="文本框 3"/>
                          <wps:cNvSpPr txBox="1"/>
                          <wps:spPr>
                            <a:xfrm>
                              <a:off x="1612900" y="2247900"/>
                              <a:ext cx="1007745" cy="341630"/>
                            </a:xfrm>
                            <a:prstGeom prst="rect">
                              <a:avLst/>
                            </a:prstGeom>
                            <a:solidFill>
                              <a:srgbClr val="FFFFFF"/>
                            </a:solidFill>
                            <a:ln w="12700">
                              <a:solidFill>
                                <a:srgbClr val="000000"/>
                              </a:solidFill>
                            </a:ln>
                            <a:effectLst/>
                          </wps:spPr>
                          <wps:txb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现场指挥部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56197419" name="文本框 3"/>
                          <wps:cNvSpPr txBox="1"/>
                          <wps:spPr>
                            <a:xfrm>
                              <a:off x="3213100" y="2247900"/>
                              <a:ext cx="1007745" cy="341630"/>
                            </a:xfrm>
                            <a:prstGeom prst="rect">
                              <a:avLst/>
                            </a:prstGeom>
                            <a:solidFill>
                              <a:srgbClr val="FFFFFF"/>
                            </a:solidFill>
                            <a:ln w="12700">
                              <a:solidFill>
                                <a:srgbClr val="000000"/>
                              </a:solidFill>
                            </a:ln>
                            <a:effectLst/>
                          </wps:spPr>
                          <wps:txb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区镇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0790714" name="文本框 3"/>
                          <wps:cNvSpPr txBox="1"/>
                          <wps:spPr>
                            <a:xfrm>
                              <a:off x="0" y="2247900"/>
                              <a:ext cx="1007745" cy="341630"/>
                            </a:xfrm>
                            <a:prstGeom prst="rect">
                              <a:avLst/>
                            </a:prstGeom>
                            <a:solidFill>
                              <a:srgbClr val="FFFFFF"/>
                            </a:solidFill>
                            <a:ln w="12700">
                              <a:solidFill>
                                <a:srgbClr val="000000"/>
                              </a:solidFill>
                            </a:ln>
                            <a:effectLst/>
                          </wps:spPr>
                          <wps:txb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成员单位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41746452" name="直接箭头连接符 4"/>
                          <wps:cNvCnPr/>
                          <wps:spPr>
                            <a:xfrm flipH="1">
                              <a:off x="3714750" y="1835150"/>
                              <a:ext cx="0" cy="396000"/>
                            </a:xfrm>
                            <a:prstGeom prst="straightConnector1">
                              <a:avLst/>
                            </a:prstGeom>
                            <a:noFill/>
                            <a:ln w="12700" cap="flat" cmpd="sng" algn="ctr">
                              <a:solidFill>
                                <a:schemeClr val="tx1"/>
                              </a:solidFill>
                              <a:prstDash val="solid"/>
                              <a:tailEnd type="triangle"/>
                            </a:ln>
                            <a:effectLst/>
                          </wps:spPr>
                          <wps:bodyPr/>
                        </wps:wsp>
                        <wps:wsp>
                          <wps:cNvPr id="678068910" name="直接箭头连接符 4"/>
                          <wps:cNvCnPr/>
                          <wps:spPr>
                            <a:xfrm flipH="1">
                              <a:off x="2133600" y="2597150"/>
                              <a:ext cx="0" cy="342000"/>
                            </a:xfrm>
                            <a:prstGeom prst="straightConnector1">
                              <a:avLst/>
                            </a:prstGeom>
                            <a:noFill/>
                            <a:ln w="12700" cap="flat" cmpd="sng" algn="ctr">
                              <a:solidFill>
                                <a:schemeClr val="tx1"/>
                              </a:solidFill>
                              <a:prstDash val="solid"/>
                              <a:tailEnd type="triangle"/>
                            </a:ln>
                            <a:effectLst/>
                          </wps:spPr>
                          <wps:bodyPr/>
                        </wps:wsp>
                      </wpg:grpSp>
                    </wpg:wgp>
                  </a:graphicData>
                </a:graphic>
              </wp:anchor>
            </w:drawing>
          </mc:Choice>
          <mc:Fallback>
            <w:pict>
              <v:group id="组合 3" o:spid="_x0000_s1026" o:spt="203" style="position:absolute;left:0pt;margin-left:54.6pt;margin-top:5.05pt;height:328.35pt;width:343.15pt;z-index:251659264;mso-width-relative:page;mso-height-relative:page;" coordsize="4357752,4170045" o:gfxdata="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">
                <o:lock v:ext="edit" aspectratio="f"/>
                <v:group id="组合 2" o:spid="_x0000_s1026" o:spt="203" style="position:absolute;left:311150;top:2914650;height:1255395;width:3675380;" coordsize="3675380,1255395" o:gfxdata="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NsgN5TEAAAA4wAAAA8AAAAAAAAAAQAgAAAAIgAAAGRycy9kb3du&#10;cmV2LnhtbFBLAQIUABQAAAAIAIdO4kAzLwWeOwAAADkAAAAVAAAAAAAAAAEAIAAAABMBAABkcnMv&#10;Z3JvdXBzaGFwZXhtbC54bWxQSwUGAAAAAAYABgBgAQAA0AMAAAAA&#10;">
                  <o:lock v:ext="edit" aspectratio="f"/>
                  <v:shape id="文本框 1" o:spid="_x0000_s1026" o:spt="202" type="#_x0000_t202" style="position:absolute;left:0;top:425450;height:822960;width:303530;" filled="f" stroked="t" coordsize="21600,21600" o:gfxdata="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qrN&#10;RcEAAADhAAAADwAAAAAAAAABACAAAAAiAAAAZHJzL2Rvd25yZXYueG1sUEsBAhQAFAAAAAgAh07i&#10;QDMvBZ47AAAAOQAAABAAAAAAAAAAAQAgAAAAEAEAAGRycy9zaGFwZXhtbC54bWxQSwUGAAAAAAYA&#10;BgBbAQAAugMAAAAA&#10;">
                    <v:fill on="f" focussize="0,0"/>
                    <v:stroke weight="1pt" color="#000000" joinstyle="round"/>
                    <v:imagedata o:title=""/>
                    <o:lock v:ext="edit" aspectratio="f"/>
                    <v:textbox inset="1mm,1mm,1mm,1mm" style="layout-flow:vertical-ideographic;">
                      <w:txbxContent>
                        <w:p>
                          <w:pPr>
                            <w:adjustRightInd w:val="0"/>
                            <w:snapToGrid w:val="0"/>
                            <w:jc w:val="center"/>
                            <w:rPr>
                              <w:rFonts w:ascii="方正仿宋_GBK" w:eastAsia="方正仿宋_GBK"/>
                              <w:b/>
                              <w:bCs/>
                              <w:szCs w:val="21"/>
                            </w:rPr>
                          </w:pPr>
                          <w:r>
                            <w:rPr>
                              <w:rFonts w:hint="eastAsia" w:ascii="仿宋_GB2312" w:hAnsi="仿宋_GB2312" w:eastAsia="仿宋_GB2312" w:cs="仿宋_GB2312"/>
                              <w:b/>
                              <w:bCs/>
                              <w:szCs w:val="21"/>
                            </w:rPr>
                            <w:t>综合协调组</w:t>
                          </w:r>
                        </w:p>
                      </w:txbxContent>
                    </v:textbox>
                  </v:shape>
                  <v:shape id="文本框 1" o:spid="_x0000_s1026" o:spt="202" type="#_x0000_t202" style="position:absolute;left:1676400;top:425450;height:822960;width:303530;" filled="f" stroked="t" coordsize="21600,21600" o:gfxdata="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lxc78QAAADjAAAADwAAAAAAAAABACAAAAAiAAAAZHJzL2Rvd25yZXYueG1sUEsBAhQAFAAAAAgA&#10;h07iQDMvBZ47AAAAOQAAABAAAAAAAAAAAQAgAAAAEwEAAGRycy9zaGFwZXhtbC54bWxQSwUGAAAA&#10;AAYABgBbAQAAvQMAAAAA&#10;">
                    <v:fill on="f" focussize="0,0"/>
                    <v:stroke weight="1pt" color="#000000" joinstyle="round"/>
                    <v:imagedata o:title=""/>
                    <o:lock v:ext="edit" aspectratio="f"/>
                    <v:textbox inset="1mm,1mm,1mm,1mm" style="layout-flow:vertical-ideographic;">
                      <w:txbxContent>
                        <w:p>
                          <w:pPr>
                            <w:adjustRightInd w:val="0"/>
                            <w:snapToGrid w:val="0"/>
                            <w:jc w:val="center"/>
                            <w:rPr>
                              <w:rFonts w:ascii="方正仿宋_GBK" w:eastAsia="方正仿宋_GBK"/>
                              <w:b/>
                              <w:bCs/>
                              <w:szCs w:val="21"/>
                            </w:rPr>
                          </w:pPr>
                          <w:r>
                            <w:rPr>
                              <w:rFonts w:hint="eastAsia" w:ascii="仿宋_GB2312" w:hAnsi="仿宋_GB2312" w:eastAsia="仿宋_GB2312" w:cs="仿宋_GB2312"/>
                              <w:b/>
                              <w:bCs/>
                              <w:szCs w:val="21"/>
                            </w:rPr>
                            <w:t>后勤保障组</w:t>
                          </w:r>
                        </w:p>
                        <w:p>
                          <w:pPr>
                            <w:ind w:firstLine="422"/>
                            <w:rPr>
                              <w:szCs w:val="21"/>
                            </w:rPr>
                          </w:pPr>
                          <w:r>
                            <w:rPr>
                              <w:rFonts w:hint="eastAsia" w:ascii="方正仿宋_GBK"/>
                              <w:b/>
                              <w:bCs/>
                              <w:szCs w:val="21"/>
                            </w:rPr>
                            <w:t>综合协调组</w:t>
                          </w:r>
                        </w:p>
                      </w:txbxContent>
                    </v:textbox>
                  </v:shape>
                  <v:shape id="文本框 1" o:spid="_x0000_s1026" o:spt="202" type="#_x0000_t202" style="position:absolute;left:1257300;top:425450;height:822960;width:303530;" filled="f" stroked="t" coordsize="21600,21600" o:gfxdata="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b&#10;59S2wwAAAOMAAAAPAAAAAAAAAAEAIAAAACIAAABkcnMvZG93bnJldi54bWxQSwECFAAUAAAACACH&#10;TuJAMy8FnjsAAAA5AAAAEAAAAAAAAAABACAAAAASAQAAZHJzL3NoYXBleG1sLnhtbFBLBQYAAAAA&#10;BgAGAFsBAAC8AwAAAAA=&#10;">
                    <v:fill on="f" focussize="0,0"/>
                    <v:stroke weight="1pt" color="#000000" joinstyle="round"/>
                    <v:imagedata o:title=""/>
                    <o:lock v:ext="edit" aspectratio="f"/>
                    <v:textbox inset="1mm,1mm,1mm,1mm" style="layout-flow:vertical-ideographic;">
                      <w:txbxContent>
                        <w:p>
                          <w:pPr>
                            <w:adjustRightInd w:val="0"/>
                            <w:snapToGrid w:val="0"/>
                            <w:jc w:val="center"/>
                            <w:rPr>
                              <w:rFonts w:ascii="方正仿宋_GBK" w:eastAsia="方正仿宋_GBK"/>
                              <w:b/>
                              <w:bCs/>
                              <w:szCs w:val="21"/>
                            </w:rPr>
                          </w:pPr>
                          <w:r>
                            <w:rPr>
                              <w:rFonts w:hint="eastAsia" w:ascii="仿宋_GB2312" w:hAnsi="仿宋_GB2312" w:eastAsia="仿宋_GB2312" w:cs="仿宋_GB2312"/>
                              <w:b/>
                              <w:bCs/>
                              <w:szCs w:val="21"/>
                            </w:rPr>
                            <w:t>疏散警戒组</w:t>
                          </w:r>
                        </w:p>
                        <w:p>
                          <w:pPr>
                            <w:ind w:firstLine="422"/>
                            <w:rPr>
                              <w:szCs w:val="21"/>
                            </w:rPr>
                          </w:pPr>
                          <w:r>
                            <w:rPr>
                              <w:rFonts w:hint="eastAsia" w:ascii="方正仿宋_GBK"/>
                              <w:b/>
                              <w:bCs/>
                              <w:szCs w:val="21"/>
                            </w:rPr>
                            <w:t>综合协调组</w:t>
                          </w:r>
                        </w:p>
                      </w:txbxContent>
                    </v:textbox>
                  </v:shape>
                  <v:shape id="文本框 1" o:spid="_x0000_s1026" o:spt="202" type="#_x0000_t202" style="position:absolute;left:844550;top:425450;height:822960;width:303530;" filled="f" stroked="t" coordsize="21600,21600" o:gfxdata="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z&#10;vFCFwwAAAOMAAAAPAAAAAAAAAAEAIAAAACIAAABkcnMvZG93bnJldi54bWxQSwECFAAUAAAACACH&#10;TuJAMy8FnjsAAAA5AAAAEAAAAAAAAAABACAAAAASAQAAZHJzL3NoYXBleG1sLnhtbFBLBQYAAAAA&#10;BgAGAFsBAAC8AwAAAAA=&#10;">
                    <v:fill on="f" focussize="0,0"/>
                    <v:stroke weight="1pt" color="#000000" joinstyle="round"/>
                    <v:imagedata o:title=""/>
                    <o:lock v:ext="edit" aspectratio="f"/>
                    <v:textbox inset="1mm,1mm,1mm,1mm" style="layout-flow:vertical-ideographic;">
                      <w:txbxContent>
                        <w:p>
                          <w:pPr>
                            <w:adjustRightInd w:val="0"/>
                            <w:snapToGrid w:val="0"/>
                            <w:jc w:val="center"/>
                            <w:rPr>
                              <w:rFonts w:ascii="方正仿宋_GBK" w:eastAsia="方正仿宋_GBK"/>
                              <w:b/>
                              <w:bCs/>
                              <w:szCs w:val="21"/>
                            </w:rPr>
                          </w:pPr>
                          <w:r>
                            <w:rPr>
                              <w:rFonts w:hint="eastAsia" w:ascii="仿宋_GB2312" w:hAnsi="仿宋_GB2312" w:eastAsia="仿宋_GB2312" w:cs="仿宋_GB2312"/>
                              <w:b/>
                              <w:bCs/>
                              <w:szCs w:val="21"/>
                            </w:rPr>
                            <w:t>通讯保障组</w:t>
                          </w:r>
                        </w:p>
                        <w:p>
                          <w:pPr>
                            <w:snapToGrid w:val="0"/>
                            <w:ind w:firstLine="422"/>
                            <w:jc w:val="center"/>
                            <w:rPr>
                              <w:szCs w:val="21"/>
                            </w:rPr>
                          </w:pPr>
                          <w:r>
                            <w:rPr>
                              <w:rFonts w:hint="eastAsia" w:ascii="方正仿宋_GBK"/>
                              <w:b/>
                              <w:bCs/>
                              <w:szCs w:val="21"/>
                            </w:rPr>
                            <w:t>综合协调组</w:t>
                          </w:r>
                        </w:p>
                      </w:txbxContent>
                    </v:textbox>
                  </v:shape>
                  <v:shape id="文本框 1" o:spid="_x0000_s1026" o:spt="202" type="#_x0000_t202" style="position:absolute;left:419100;top:425450;height:822960;width:303530;" filled="f" stroked="t" coordsize="21600,21600" o:gfxdata="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Ay7McQAAADiAAAADwAAAAAAAAABACAAAAAiAAAAZHJzL2Rvd25yZXYueG1sUEsBAhQAFAAAAAgA&#10;h07iQDMvBZ47AAAAOQAAABAAAAAAAAAAAQAgAAAAEwEAAGRycy9zaGFwZXhtbC54bWxQSwUGAAAA&#10;AAYABgBbAQAAvQMAAAAA&#10;">
                    <v:fill on="f" focussize="0,0"/>
                    <v:stroke weight="1pt" color="#000000" joinstyle="round"/>
                    <v:imagedata o:title=""/>
                    <o:lock v:ext="edit" aspectratio="f"/>
                    <v:textbox inset="1mm,1mm,1mm,1mm" style="layout-flow:vertical-ideographic;">
                      <w:txbxContent>
                        <w:p>
                          <w:pPr>
                            <w:adjustRightInd w:val="0"/>
                            <w:snapToGrid w:val="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抢险救援组</w:t>
                          </w:r>
                        </w:p>
                        <w:p>
                          <w:pPr>
                            <w:adjustRightInd w:val="0"/>
                            <w:snapToGrid w:val="0"/>
                            <w:jc w:val="center"/>
                            <w:rPr>
                              <w:b/>
                              <w:bCs/>
                              <w:szCs w:val="21"/>
                            </w:rPr>
                          </w:pPr>
                        </w:p>
                      </w:txbxContent>
                    </v:textbox>
                  </v:shape>
                  <v:shape id="文本框 1" o:spid="_x0000_s1026" o:spt="202" type="#_x0000_t202" style="position:absolute;left:2940050;top:425450;height:822960;width:303530;" filled="f" stroked="t" coordsize="21600,21600" o:gfxdata="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Y3w&#10;mMEAAADiAAAADwAAAAAAAAABACAAAAAiAAAAZHJzL2Rvd25yZXYueG1sUEsBAhQAFAAAAAgAh07i&#10;QDMvBZ47AAAAOQAAABAAAAAAAAAAAQAgAAAAEAEAAGRycy9zaGFwZXhtbC54bWxQSwUGAAAAAAYA&#10;BgBbAQAAugMAAAAA&#10;">
                    <v:fill on="f" focussize="0,0"/>
                    <v:stroke weight="1pt" color="#000000" joinstyle="round"/>
                    <v:imagedata o:title=""/>
                    <o:lock v:ext="edit" aspectratio="f"/>
                    <v:textbox inset="1mm,1mm,1mm,1mm" style="layout-flow:vertical-ideographic;">
                      <w:txbxContent>
                        <w:p>
                          <w:pPr>
                            <w:adjustRightInd w:val="0"/>
                            <w:snapToGrid w:val="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转移安置组</w:t>
                          </w:r>
                        </w:p>
                      </w:txbxContent>
                    </v:textbox>
                  </v:shape>
                  <v:shape id="文本框 1" o:spid="_x0000_s1026" o:spt="202" type="#_x0000_t202" style="position:absolute;left:2520950;top:425450;height:822960;width:303530;" filled="f" stroked="t" coordsize="21600,21600" o:gfxdata="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fCraScQAAADjAAAADwAAAAAAAAABACAAAAAiAAAAZHJzL2Rvd25yZXYueG1sUEsBAhQAFAAAAAgA&#10;h07iQDMvBZ47AAAAOQAAABAAAAAAAAAAAQAgAAAAEwEAAGRycy9zaGFwZXhtbC54bWxQSwUGAAAA&#10;AAYABgBbAQAAvQMAAAAA&#10;">
                    <v:fill on="f" focussize="0,0"/>
                    <v:stroke weight="1pt" color="#000000" joinstyle="round"/>
                    <v:imagedata o:title=""/>
                    <o:lock v:ext="edit" aspectratio="f"/>
                    <v:textbox inset="1mm,1mm,1mm,1mm" style="layout-flow:vertical-ideographic;">
                      <w:txbxContent>
                        <w:p>
                          <w:pPr>
                            <w:adjustRightInd w:val="0"/>
                            <w:snapToGrid w:val="0"/>
                            <w:jc w:val="center"/>
                            <w:rPr>
                              <w:rFonts w:ascii="方正仿宋_GBK" w:eastAsia="方正仿宋_GBK"/>
                              <w:b/>
                              <w:bCs/>
                              <w:szCs w:val="21"/>
                            </w:rPr>
                          </w:pPr>
                          <w:r>
                            <w:rPr>
                              <w:rFonts w:hint="eastAsia" w:ascii="仿宋_GB2312" w:hAnsi="仿宋_GB2312" w:eastAsia="仿宋_GB2312" w:cs="仿宋_GB2312"/>
                              <w:b/>
                              <w:bCs/>
                              <w:szCs w:val="21"/>
                            </w:rPr>
                            <w:t>医疗救护组</w:t>
                          </w:r>
                        </w:p>
                        <w:p>
                          <w:pPr>
                            <w:ind w:firstLine="422"/>
                            <w:jc w:val="center"/>
                            <w:rPr>
                              <w:szCs w:val="21"/>
                            </w:rPr>
                          </w:pPr>
                          <w:r>
                            <w:rPr>
                              <w:rFonts w:hint="eastAsia" w:ascii="方正仿宋_GBK"/>
                              <w:b/>
                              <w:bCs/>
                              <w:szCs w:val="21"/>
                            </w:rPr>
                            <w:t>综合协调组</w:t>
                          </w:r>
                        </w:p>
                      </w:txbxContent>
                    </v:textbox>
                  </v:shape>
                  <v:shape id="直接箭头连接符 4" o:spid="_x0000_s1026" o:spt="32" type="#_x0000_t32" style="position:absolute;left:146050;top:0;flip:x;height:430530;width:0;" filled="f" stroked="t" coordsize="21600,21600" o:gfxdata="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k80UwwAAAOMAAAAPAAAAAAAAAAEAIAAAACIAAABkcnMvZG93bnJldi54bWxQSwECFAAUAAAACACH&#10;TuJAMy8FnjsAAAA5AAAAEAAAAAAAAAABACAAAAASAQAAZHJzL3NoYXBleG1sLnhtbFBLBQYAAAAA&#10;BgAGAFsBAAC8AwAAAAA=&#10;">
                    <v:fill on="f" focussize="0,0"/>
                    <v:stroke weight="1pt" color="#000000 [3213]" joinstyle="round" endarrow="block"/>
                    <v:imagedata o:title=""/>
                    <o:lock v:ext="edit" aspectratio="f"/>
                  </v:shape>
                  <v:shape id="直接箭头连接符 4" o:spid="_x0000_s1026" o:spt="32" type="#_x0000_t32" style="position:absolute;left:571500;top:0;flip:x;height:430530;width:0;" filled="f" stroked="t" coordsize="21600,21600" o:gfxdata="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m&#10;FrSPwwAAAOMAAAAPAAAAAAAAAAEAIAAAACIAAABkcnMvZG93bnJldi54bWxQSwECFAAUAAAACACH&#10;TuJAMy8FnjsAAAA5AAAAEAAAAAAAAAABACAAAAASAQAAZHJzL3NoYXBleG1sLnhtbFBLBQYAAAAA&#10;BgAGAFsBAAC8AwAAAAA=&#10;">
                    <v:fill on="f" focussize="0,0"/>
                    <v:stroke weight="1pt" color="#000000 [3213]" joinstyle="round" endarrow="block"/>
                    <v:imagedata o:title=""/>
                    <o:lock v:ext="edit" aspectratio="f"/>
                  </v:shape>
                  <v:shape id="直接箭头连接符 4" o:spid="_x0000_s1026" o:spt="32" type="#_x0000_t32" style="position:absolute;left:984250;top:0;flip:x;height:430530;width:0;" filled="f" stroked="t" coordsize="21600,21600" o:gfxdata="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JdH+8xgAAAOIAAAAPAAAAAAAAAAEAIAAAACIAAABkcnMvZG93bnJldi54bWxQSwECFAAUAAAA&#10;CACHTuJAMy8FnjsAAAA5AAAAEAAAAAAAAAABACAAAAAVAQAAZHJzL3NoYXBleG1sLnhtbFBLBQYA&#10;AAAABgAGAFsBAAC/AwAAAAA=&#10;">
                    <v:fill on="f" focussize="0,0"/>
                    <v:stroke weight="1pt" color="#000000 [3213]" joinstyle="round" endarrow="block"/>
                    <v:imagedata o:title=""/>
                    <o:lock v:ext="edit" aspectratio="f"/>
                  </v:shape>
                  <v:shape id="直接箭头连接符 4" o:spid="_x0000_s1026" o:spt="32" type="#_x0000_t32" style="position:absolute;left:1403350;top:0;flip:x;height:430530;width:0;" filled="f" stroked="t" coordsize="21600,21600" o:gfxdata="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Iz6/XFAAAA4gAAAA8AAAAAAAAAAQAgAAAAIgAAAGRycy9kb3ducmV2LnhtbFBLAQIUABQAAAAI&#10;AIdO4kAzLwWeOwAAADkAAAAQAAAAAAAAAAEAIAAAABQBAABkcnMvc2hhcGV4bWwueG1sUEsFBgAA&#10;AAAGAAYAWwEAAL4DAAAAAA==&#10;">
                    <v:fill on="f" focussize="0,0"/>
                    <v:stroke weight="1pt" color="#000000 [3213]" joinstyle="round" endarrow="block"/>
                    <v:imagedata o:title=""/>
                    <o:lock v:ext="edit" aspectratio="f"/>
                  </v:shape>
                  <v:shape id="直接箭头连接符 4" o:spid="_x0000_s1026" o:spt="32" type="#_x0000_t32" style="position:absolute;left:1822450;top:0;flip:x;height:430530;width:0;" filled="f" stroked="t" coordsize="21600,21600" o:gfxdata="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C29KQPFAAAA4gAAAA8AAAAAAAAAAQAgAAAAIgAAAGRycy9kb3ducmV2LnhtbFBLAQIUABQAAAAI&#10;AIdO4kAzLwWeOwAAADkAAAAQAAAAAAAAAAEAIAAAABQBAABkcnMvc2hhcGV4bWwueG1sUEsFBgAA&#10;AAAGAAYAWwEAAL4DAAAAAA==&#10;">
                    <v:fill on="f" focussize="0,0"/>
                    <v:stroke weight="1pt" color="#000000 [3213]" joinstyle="round" endarrow="block"/>
                    <v:imagedata o:title=""/>
                    <o:lock v:ext="edit" aspectratio="f"/>
                  </v:shape>
                  <v:shape id="直接箭头连接符 4" o:spid="_x0000_s1026" o:spt="32" type="#_x0000_t32" style="position:absolute;left:2241550;top:0;flip:x;height:430530;width:0;" filled="f" stroked="t" coordsize="21600,21600" o:gfxdata="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iN7rtxgAAAOIAAAAPAAAAAAAAAAEAIAAAACIAAABkcnMvZG93bnJldi54bWxQSwECFAAUAAAA&#10;CACHTuJAMy8FnjsAAAA5AAAAEAAAAAAAAAABACAAAAAVAQAAZHJzL3NoYXBleG1sLnhtbFBLBQYA&#10;AAAABgAGAFsBAAC/AwAAAAA=&#10;">
                    <v:fill on="f" focussize="0,0"/>
                    <v:stroke weight="1pt" color="#000000 [3213]" joinstyle="round" endarrow="block"/>
                    <v:imagedata o:title=""/>
                    <o:lock v:ext="edit" aspectratio="f"/>
                  </v:shape>
                  <v:shape id="直接箭头连接符 4" o:spid="_x0000_s1026" o:spt="32" type="#_x0000_t32" style="position:absolute;left:2667000;top:0;flip:x;height:430530;width:0;" filled="f" stroked="t" coordsize="21600,21600" o:gfxdata="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8BHczFAAAA4gAAAA8AAAAAAAAAAQAgAAAAIgAAAGRycy9kb3ducmV2LnhtbFBLAQIUABQAAAAI&#10;AIdO4kAzLwWeOwAAADkAAAAQAAAAAAAAAAEAIAAAABQBAABkcnMvc2hhcGV4bWwueG1sUEsFBgAA&#10;AAAGAAYAWwEAAL4DAAAAAA==&#10;">
                    <v:fill on="f" focussize="0,0"/>
                    <v:stroke weight="1pt" color="#000000 [3213]" joinstyle="round" endarrow="block"/>
                    <v:imagedata o:title=""/>
                    <o:lock v:ext="edit" aspectratio="f"/>
                  </v:shape>
                  <v:shape id="直接箭头连接符 4" o:spid="_x0000_s1026" o:spt="32" type="#_x0000_t32" style="position:absolute;left:3086100;top:0;flip:x;height:430530;width:0;" filled="f" stroked="t" coordsize="21600,21600" o:gfxdata="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udgPcQAAADhAAAADwAAAAAAAAABACAAAAAiAAAAZHJzL2Rvd25yZXYueG1sUEsBAhQAFAAAAAgA&#10;h07iQDMvBZ47AAAAOQAAABAAAAAAAAAAAQAgAAAAEwEAAGRycy9zaGFwZXhtbC54bWxQSwUGAAAA&#10;AAYABgBbAQAAvQMAAAAA&#10;">
                    <v:fill on="f" focussize="0,0"/>
                    <v:stroke weight="1pt" color="#000000 [3213]" joinstyle="round" endarrow="block"/>
                    <v:imagedata o:title=""/>
                    <o:lock v:ext="edit" aspectratio="f"/>
                  </v:shape>
                  <v:shape id="直接箭头连接符 4" o:spid="_x0000_s1026" o:spt="32" type="#_x0000_t32" style="position:absolute;left:3511550;top:6350;flip:x;height:430530;width:0;" filled="f" stroked="t" coordsize="21600,21600" o:gfxdata="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WsnHixgAAAOIAAAAPAAAAAAAAAAEAIAAAACIAAABkcnMvZG93bnJldi54bWxQSwECFAAUAAAA&#10;CACHTuJAMy8FnjsAAAA5AAAAEAAAAAAAAAABACAAAAAVAQAAZHJzL3NoYXBleG1sLnhtbFBLBQYA&#10;AAAABgAGAFsBAAC/AwAAAAA=&#10;">
                    <v:fill on="f" focussize="0,0"/>
                    <v:stroke weight="1pt" color="#000000 [3213]" joinstyle="round" endarrow="block"/>
                    <v:imagedata o:title=""/>
                    <o:lock v:ext="edit" aspectratio="f"/>
                  </v:shape>
                  <v:shape id="文本框 1" o:spid="_x0000_s1026" o:spt="202" type="#_x0000_t202" style="position:absolute;left:3371850;top:431800;height:823595;width:303530;" filled="f" stroked="t" coordsize="21600,21600" o:gfxdata="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M18u/&#10;AAAA4g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textbox inset="1mm,1mm,1mm,1mm" style="layout-flow:vertical-ideographic;">
                      <w:txbxContent>
                        <w:p>
                          <w:pPr>
                            <w:adjustRightInd w:val="0"/>
                            <w:snapToGrid w:val="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专家咨询组</w:t>
                          </w:r>
                        </w:p>
                      </w:txbxContent>
                    </v:textbox>
                  </v:shape>
                  <v:shape id="文本框 1" o:spid="_x0000_s1026" o:spt="202" type="#_x0000_t202" style="position:absolute;left:2095500;top:419100;height:826770;width:303530;" filled="f" stroked="t" coordsize="21600,21600" o:gfxdata="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Pak&#10;QMEAAADjAAAADwAAAAAAAAABACAAAAAiAAAAZHJzL2Rvd25yZXYueG1sUEsBAhQAFAAAAAgAh07i&#10;QDMvBZ47AAAAOQAAABAAAAAAAAAAAQAgAAAAEAEAAGRycy9zaGFwZXhtbC54bWxQSwUGAAAAAAYA&#10;BgBbAQAAugMAAAAA&#10;">
                    <v:fill on="f" focussize="0,0"/>
                    <v:stroke weight="1pt" color="#000000" joinstyle="round"/>
                    <v:imagedata o:title=""/>
                    <o:lock v:ext="edit" aspectratio="f"/>
                    <v:textbox inset="1mm,1mm,1mm,1mm" style="layout-flow:vertical-ideographic;">
                      <w:txbxContent>
                        <w:p>
                          <w:pPr>
                            <w:adjustRightInd w:val="0"/>
                            <w:snapToGrid w:val="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信息发布组</w:t>
                          </w:r>
                        </w:p>
                      </w:txbxContent>
                    </v:textbox>
                  </v:shape>
                  <v:line id="直接连接符 1" o:spid="_x0000_s1026" o:spt="20" style="position:absolute;left:139700;top:6350;height:0;width:3366135;" filled="f" stroked="t" coordsize="21600,21600" o:gfxdata="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N&#10;TkDKwwAAAOIAAAAPAAAAAAAAAAEAIAAAACIAAABkcnMvZG93bnJldi54bWxQSwECFAAUAAAACACH&#10;TuJAMy8FnjsAAAA5AAAAEAAAAAAAAAABACAAAAASAQAAZHJzL3NoYXBleG1sLnhtbFBLBQYAAAAA&#10;BgAGAFsBAAC8AwAAAAA=&#10;">
                    <v:fill on="f" focussize="0,0"/>
                    <v:stroke weight="1pt" color="#000000 [3213]" joinstyle="round"/>
                    <v:imagedata o:title=""/>
                    <o:lock v:ext="edit" aspectratio="f"/>
                  </v:line>
                </v:group>
                <v:group id="组合 1" o:spid="_x0000_s1026" o:spt="203" style="position:absolute;left:0;top:0;height:2939150;width:4357752;" coordsize="4357752,2939150" o:gfxdata="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5I0fXwgAAAOMAAAAPAAAAAAAAAAEAIAAAACIAAABkcnMvZG93bnJl&#10;di54bWxQSwECFAAUAAAACACHTuJAMy8FnjsAAAA5AAAAFQAAAAAAAAABACAAAAARAQAAZHJzL2dy&#10;b3Vwc2hhcGV4bWwueG1sUEsFBgAAAAAGAAYAYAEAAM4DAAAAAA==&#10;">
                  <o:lock v:ext="edit" aspectratio="f"/>
                  <v:shape id="文本框 3" o:spid="_x0000_s1026" o:spt="202" type="#_x0000_t202" style="position:absolute;left:1568450;top:0;height:341630;width:1115695;v-text-anchor:middle;" fillcolor="#FFFFFF" filled="t" stroked="t" coordsize="21600,21600" o:gfxdata="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Qs&#10;AQrCAAAA4wAAAA8AAAAAAAAAAQAgAAAAIgAAAGRycy9kb3ducmV2LnhtbFBLAQIUABQAAAAIAIdO&#10;4kAzLwWeOwAAADkAAAAQAAAAAAAAAAEAIAAAABEBAABkcnMvc2hhcGV4bWwueG1sUEsFBgAAAAAG&#10;AAYAWwEAALsDAAAAAA==&#10;">
                    <v:fill on="t" focussize="0,0"/>
                    <v:stroke weight="1pt" color="#000000" joinstyle="round"/>
                    <v:imagedata o:title=""/>
                    <o:lock v:ext="edit" aspectratio="f"/>
                    <v:textbo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昆山市政府</w:t>
                          </w:r>
                        </w:p>
                      </w:txbxContent>
                    </v:textbox>
                  </v:shape>
                  <v:shape id="直接箭头连接符 7" o:spid="_x0000_s1026" o:spt="32" type="#_x0000_t32" style="position:absolute;left:2127250;top:336550;height:360000;width:0;" filled="f" stroked="t" coordsize="21600,21600" o:gfxdata="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nNNK/&#10;AAAA4wAAAA8AAAAAAAAAAQAgAAAAIgAAAGRycy9kb3ducmV2LnhtbFBLAQIUABQAAAAIAIdO4kAz&#10;LwWeOwAAADkAAAAQAAAAAAAAAAEAIAAAAA4BAABkcnMvc2hhcGV4bWwueG1sUEsFBgAAAAAGAAYA&#10;WwEAALgDAAAAAA==&#10;">
                    <v:fill on="f" focussize="0,0"/>
                    <v:stroke weight="1pt" color="#000000 [3213]" joinstyle="round" endarrow="block"/>
                    <v:imagedata o:title=""/>
                    <o:lock v:ext="edit" aspectratio="f"/>
                  </v:shape>
                  <v:shape id="文本框 3" o:spid="_x0000_s1026" o:spt="202" type="#_x0000_t202" style="position:absolute;left:1073150;top:698500;height:341885;width:2141969;" fillcolor="#FFFFFF" filled="t" stroked="t" coordsize="21600,21600" o:gfxdata="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32biXcQAAADiAAAADwAAAAAAAAABACAAAAAiAAAAZHJzL2Rvd25yZXYueG1sUEsBAhQAFAAAAAgA&#10;h07iQDMvBZ47AAAAOQAAABAAAAAAAAAAAQAgAAAAEwEAAGRycy9zaGFwZXhtbC54bWxQSwUGAAAA&#10;AAYABgBbAQAAvQMAAAAA&#10;">
                    <v:fill on="t" focussize="0,0"/>
                    <v:stroke weight="1pt" color="#000000" joinstyle="round"/>
                    <v:imagedata o:title=""/>
                    <o:lock v:ext="edit" aspectratio="f"/>
                    <v:textbox>
                      <w:txbxContent>
                        <w:p>
                          <w:pPr>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昆山市森林火灾应急指挥部</w:t>
                          </w:r>
                        </w:p>
                      </w:txbxContent>
                    </v:textbox>
                  </v:shape>
                  <v:shape id="直接箭头连接符 2" o:spid="_x0000_s1026" o:spt="32" type="#_x0000_t32" style="position:absolute;left:2120900;top:1041400;flip:x;height:1209600;width:0;" filled="f" stroked="t" coordsize="21600,21600" o:gfxdata="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91Zx8QAAADjAAAADwAAAAAAAAABACAAAAAiAAAAZHJzL2Rvd25yZXYueG1sUEsBAhQAFAAAAAgA&#10;h07iQDMvBZ47AAAAOQAAABAAAAAAAAAAAQAgAAAAEwEAAGRycy9zaGFwZXhtbC54bWxQSwUGAAAA&#10;AAYABgBbAQAAvQMAAAAA&#10;">
                    <v:fill on="f" focussize="0,0"/>
                    <v:stroke weight="1pt" color="#000000" joinstyle="round" endarrow="block"/>
                    <v:imagedata o:title=""/>
                    <o:lock v:ext="edit" aspectratio="f"/>
                  </v:shape>
                  <v:shape id="文本框 3" o:spid="_x0000_s1026" o:spt="202" type="#_x0000_t202" style="position:absolute;left:3041650;top:1295400;height:341885;width:1316102;v-text-anchor:middle;" fillcolor="#FFFFFF" filled="t" stroked="t" coordsize="21600,21600" o:gfxdata="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x&#10;aP0DwwAAAOIAAAAPAAAAAAAAAAEAIAAAACIAAABkcnMvZG93bnJldi54bWxQSwECFAAUAAAACACH&#10;TuJAMy8FnjsAAAA5AAAAEAAAAAAAAAABACAAAAASAQAAZHJzL3NoYXBleG1sLnhtbFBLBQYAAAAA&#10;BgAGAFsBAAC8AwAAAAA=&#10;">
                    <v:fill on="t" focussize="0,0"/>
                    <v:stroke weight="1pt" color="#000000" joinstyle="round"/>
                    <v:imagedata o:title=""/>
                    <o:lock v:ext="edit" aspectratio="f"/>
                    <v:textbox inset="0mm,1.27mm,0mm,1.27mm">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应急指挥部办公室</w:t>
                          </w:r>
                        </w:p>
                      </w:txbxContent>
                    </v:textbox>
                  </v:shape>
                  <v:shape id="直接箭头连接符 3" o:spid="_x0000_s1026" o:spt="32" type="#_x0000_t32" style="position:absolute;left:2127250;top:1466850;flip:x y;height:0;width:900000;" filled="f" stroked="t" coordsize="21600,21600" o:gfxdata="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8&#10;xarowwAAAOMAAAAPAAAAAAAAAAEAIAAAACIAAABkcnMvZG93bnJldi54bWxQSwECFAAUAAAACACH&#10;TuJAMy8FnjsAAAA5AAAAEAAAAAAAAAABACAAAAASAQAAZHJzL3NoYXBleG1sLnhtbFBLBQYAAAAA&#10;BgAGAFsBAAC8AwAAAAA=&#10;">
                    <v:fill on="f" focussize="0,0"/>
                    <v:stroke weight="1pt" color="#000000 [3213]" joinstyle="round" endarrow="block"/>
                    <v:imagedata o:title=""/>
                    <o:lock v:ext="edit" aspectratio="f"/>
                  </v:shape>
                  <v:line id="直接连接符 1" o:spid="_x0000_s1026" o:spt="20" style="position:absolute;left:508000;top:1835150;height:0;width:3203575;" filled="f" stroked="t" coordsize="21600,21600" o:gfxdata="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n3s57MQAAADiAAAADwAAAAAAAAABACAAAAAiAAAAZHJzL2Rvd25yZXYueG1sUEsBAhQAFAAAAAgA&#10;h07iQDMvBZ47AAAAOQAAABAAAAAAAAAAAQAgAAAAEwEAAGRycy9zaGFwZXhtbC54bWxQSwUGAAAA&#10;AAYABgBbAQAAvQMAAAAA&#10;">
                    <v:fill on="f" focussize="0,0"/>
                    <v:stroke weight="1pt" color="#000000 [3213]" joinstyle="round"/>
                    <v:imagedata o:title=""/>
                    <o:lock v:ext="edit" aspectratio="f"/>
                  </v:line>
                  <v:shape id="直接箭头连接符 4" o:spid="_x0000_s1026" o:spt="32" type="#_x0000_t32" style="position:absolute;left:508000;top:1841500;flip:x;height:395605;width:0;" filled="f" stroked="t" coordsize="21600,21600" o:gfxdata="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R&#10;df83wwAAAOMAAAAPAAAAAAAAAAEAIAAAACIAAABkcnMvZG93bnJldi54bWxQSwECFAAUAAAACACH&#10;TuJAMy8FnjsAAAA5AAAAEAAAAAAAAAABACAAAAASAQAAZHJzL3NoYXBleG1sLnhtbFBLBQYAAAAA&#10;BgAGAFsBAAC8AwAAAAA=&#10;">
                    <v:fill on="f" focussize="0,0"/>
                    <v:stroke weight="1pt" color="#000000 [3213]" joinstyle="round" endarrow="block"/>
                    <v:imagedata o:title=""/>
                    <o:lock v:ext="edit" aspectratio="f"/>
                  </v:shape>
                  <v:shape id="文本框 3" o:spid="_x0000_s1026" o:spt="202" type="#_x0000_t202" style="position:absolute;left:1612900;top:2247900;height:341630;width:1007745;v-text-anchor:middle;" fillcolor="#FFFFFF" filled="t" stroked="t" coordsize="21600,21600" o:gfxdata="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4L&#10;Yb3CAAAA4wAAAA8AAAAAAAAAAQAgAAAAIgAAAGRycy9kb3ducmV2LnhtbFBLAQIUABQAAAAIAIdO&#10;4kAzLwWeOwAAADkAAAAQAAAAAAAAAAEAIAAAABEBAABkcnMvc2hhcGV4bWwueG1sUEsFBgAAAAAG&#10;AAYAWwEAALsDAAAAAA==&#10;">
                    <v:fill on="t" focussize="0,0"/>
                    <v:stroke weight="1pt" color="#000000" joinstyle="round"/>
                    <v:imagedata o:title=""/>
                    <o:lock v:ext="edit" aspectratio="f"/>
                    <v:textbo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现场指挥部</w:t>
                          </w:r>
                        </w:p>
                      </w:txbxContent>
                    </v:textbox>
                  </v:shape>
                  <v:shape id="文本框 3" o:spid="_x0000_s1026" o:spt="202" type="#_x0000_t202" style="position:absolute;left:3213100;top:2247900;height:341630;width:1007745;v-text-anchor:middle;" fillcolor="#FFFFFF" filled="t" stroked="t" coordsize="21600,21600" o:gfxdata="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WL&#10;yRjCAAAA4wAAAA8AAAAAAAAAAQAgAAAAIgAAAGRycy9kb3ducmV2LnhtbFBLAQIUABQAAAAIAIdO&#10;4kAzLwWeOwAAADkAAAAQAAAAAAAAAAEAIAAAABEBAABkcnMvc2hhcGV4bWwueG1sUEsFBgAAAAAG&#10;AAYAWwEAALsDAAAAAA==&#10;">
                    <v:fill on="t" focussize="0,0"/>
                    <v:stroke weight="1pt" color="#000000" joinstyle="round"/>
                    <v:imagedata o:title=""/>
                    <o:lock v:ext="edit" aspectratio="f"/>
                    <v:textbo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区镇</w:t>
                          </w:r>
                        </w:p>
                      </w:txbxContent>
                    </v:textbox>
                  </v:shape>
                  <v:shape id="文本框 3" o:spid="_x0000_s1026" o:spt="202" type="#_x0000_t202" style="position:absolute;left:0;top:2247900;height:341630;width:1007745;v-text-anchor:middle;" fillcolor="#FFFFFF" filled="t" stroked="t" coordsize="21600,21600" o:gfxdata="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4fOducQAAADiAAAADwAAAAAAAAABACAAAAAiAAAAZHJzL2Rvd25yZXYueG1sUEsBAhQAFAAAAAgA&#10;h07iQDMvBZ47AAAAOQAAABAAAAAAAAAAAQAgAAAAEwEAAGRycy9zaGFwZXhtbC54bWxQSwUGAAAA&#10;AAYABgBbAQAAvQMAAAAA&#10;">
                    <v:fill on="t" focussize="0,0"/>
                    <v:stroke weight="1pt" color="#000000" joinstyle="round"/>
                    <v:imagedata o:title=""/>
                    <o:lock v:ext="edit" aspectratio="f"/>
                    <v:textbo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成员单位</w:t>
                          </w:r>
                        </w:p>
                      </w:txbxContent>
                    </v:textbox>
                  </v:shape>
                  <v:shape id="直接箭头连接符 4" o:spid="_x0000_s1026" o:spt="32" type="#_x0000_t32" style="position:absolute;left:3714750;top:1835150;flip:x;height:396000;width:0;" filled="f" stroked="t" coordsize="21600,21600" o:gfxdata="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q&#10;0y51wwAAAOMAAAAPAAAAAAAAAAEAIAAAACIAAABkcnMvZG93bnJldi54bWxQSwECFAAUAAAACACH&#10;TuJAMy8FnjsAAAA5AAAAEAAAAAAAAAABACAAAAASAQAAZHJzL3NoYXBleG1sLnhtbFBLBQYAAAAA&#10;BgAGAFsBAAC8AwAAAAA=&#10;">
                    <v:fill on="f" focussize="0,0"/>
                    <v:stroke weight="1pt" color="#000000 [3213]" joinstyle="round" endarrow="block"/>
                    <v:imagedata o:title=""/>
                    <o:lock v:ext="edit" aspectratio="f"/>
                  </v:shape>
                  <v:shape id="直接箭头连接符 4" o:spid="_x0000_s1026" o:spt="32" type="#_x0000_t32" style="position:absolute;left:2133600;top:2597150;flip:x;height:342000;width:0;" filled="f" stroked="t" coordsize="21600,21600" o:gfxdata="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EMusQAAADiAAAADwAAAAAAAAABACAAAAAiAAAAZHJzL2Rvd25yZXYueG1sUEsBAhQAFAAAAAgA&#10;h07iQDMvBZ47AAAAOQAAABAAAAAAAAAAAQAgAAAAEwEAAGRycy9zaGFwZXhtbC54bWxQSwUGAAAA&#10;AAYABgBbAQAAvQMAAAAA&#10;">
                    <v:fill on="f" focussize="0,0"/>
                    <v:stroke weight="1pt" color="#000000 [3213]" joinstyle="round" endarrow="block"/>
                    <v:imagedata o:title=""/>
                    <o:lock v:ext="edit" aspectratio="f"/>
                  </v:shape>
                </v:group>
              </v:group>
            </w:pict>
          </mc:Fallback>
        </mc:AlternateContent>
      </w: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rPr>
          <w:rFonts w:hint="default" w:ascii="Times New Roman" w:hAnsi="Times New Roman" w:eastAsia="楷体" w:cs="Times New Roman"/>
          <w:szCs w:val="21"/>
        </w:rPr>
      </w:pPr>
    </w:p>
    <w:p>
      <w:pPr>
        <w:jc w:val="center"/>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b/>
          <w:bCs/>
          <w:sz w:val="32"/>
          <w:szCs w:val="32"/>
        </w:rPr>
        <w:t>图 昆山市森林火灾应急指挥体系图</w:t>
      </w:r>
    </w:p>
    <w:p>
      <w:pPr>
        <w:widowControl/>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br w:type="page"/>
      </w:r>
    </w:p>
    <w:p>
      <w:pPr>
        <w:autoSpaceDE w:val="0"/>
        <w:autoSpaceDN w:val="0"/>
        <w:snapToGrid w:val="0"/>
        <w:spacing w:line="600" w:lineRule="exact"/>
        <w:ind w:firstLine="640" w:firstLineChars="200"/>
        <w:jc w:val="left"/>
        <w:outlineLvl w:val="1"/>
        <w:rPr>
          <w:rFonts w:hint="default" w:ascii="Times New Roman" w:hAnsi="Times New Roman" w:eastAsia="楷体_GB2312" w:cs="Times New Roman"/>
          <w:sz w:val="32"/>
          <w:szCs w:val="32"/>
        </w:rPr>
      </w:pPr>
      <w:bookmarkStart w:id="84" w:name="_Toc31137"/>
      <w:bookmarkStart w:id="85" w:name="_Toc134609967"/>
      <w:r>
        <w:rPr>
          <w:rFonts w:hint="default" w:ascii="Times New Roman" w:hAnsi="Times New Roman" w:eastAsia="楷体_GB2312" w:cs="Times New Roman"/>
          <w:sz w:val="32"/>
          <w:szCs w:val="32"/>
        </w:rPr>
        <w:t>附件2  昆山市森林火灾应急指挥部工作组组成</w:t>
      </w:r>
      <w:bookmarkEnd w:id="84"/>
      <w:bookmarkEnd w:id="85"/>
    </w:p>
    <w:p>
      <w:pPr>
        <w:pStyle w:val="2"/>
        <w:spacing w:after="0" w:line="60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昆山市森林火灾应急指挥部工作组组成</w:t>
      </w:r>
    </w:p>
    <w:tbl>
      <w:tblPr>
        <w:tblStyle w:val="9"/>
        <w:tblW w:w="8926" w:type="dxa"/>
        <w:jc w:val="center"/>
        <w:tblLayout w:type="fixed"/>
        <w:tblCellMar>
          <w:top w:w="0" w:type="dxa"/>
          <w:left w:w="0" w:type="dxa"/>
          <w:bottom w:w="0" w:type="dxa"/>
          <w:right w:w="0" w:type="dxa"/>
        </w:tblCellMar>
      </w:tblPr>
      <w:tblGrid>
        <w:gridCol w:w="704"/>
        <w:gridCol w:w="1150"/>
        <w:gridCol w:w="1457"/>
        <w:gridCol w:w="1993"/>
        <w:gridCol w:w="3622"/>
      </w:tblGrid>
      <w:tr>
        <w:tblPrEx>
          <w:tblCellMar>
            <w:top w:w="0" w:type="dxa"/>
            <w:left w:w="0" w:type="dxa"/>
            <w:bottom w:w="0" w:type="dxa"/>
            <w:right w:w="0" w:type="dxa"/>
          </w:tblCellMar>
        </w:tblPrEx>
        <w:trPr>
          <w:trHeight w:val="482" w:hRule="atLeast"/>
          <w:tblHeader/>
          <w:jc w:val="center"/>
        </w:trPr>
        <w:tc>
          <w:tcPr>
            <w:tcW w:w="704" w:type="dxa"/>
            <w:tcBorders>
              <w:top w:val="single" w:color="000000" w:sz="4" w:space="0"/>
              <w:left w:val="single" w:color="000000" w:sz="4" w:space="0"/>
              <w:bottom w:val="single" w:color="000000" w:sz="4" w:space="0"/>
              <w:right w:val="single" w:color="000000" w:sz="4" w:space="0"/>
            </w:tcBorders>
            <w:tcMar>
              <w:top w:w="57" w:type="dxa"/>
              <w:left w:w="28" w:type="dxa"/>
              <w:bottom w:w="57" w:type="dxa"/>
              <w:right w:w="28" w:type="dxa"/>
            </w:tcMar>
            <w:vAlign w:val="center"/>
          </w:tcPr>
          <w:p>
            <w:pPr>
              <w:autoSpaceDE w:val="0"/>
              <w:autoSpaceDN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1150"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工作组</w:t>
            </w:r>
          </w:p>
        </w:tc>
        <w:tc>
          <w:tcPr>
            <w:tcW w:w="1457" w:type="dxa"/>
            <w:tcBorders>
              <w:top w:val="single" w:color="000000" w:sz="4" w:space="0"/>
              <w:left w:val="single" w:color="000000" w:sz="4" w:space="0"/>
              <w:bottom w:val="single" w:color="000000" w:sz="4" w:space="0"/>
              <w:right w:val="single" w:color="000000" w:sz="4" w:space="0"/>
            </w:tcBorders>
            <w:tcMar>
              <w:top w:w="57" w:type="dxa"/>
              <w:left w:w="28" w:type="dxa"/>
              <w:bottom w:w="57" w:type="dxa"/>
              <w:right w:w="28" w:type="dxa"/>
            </w:tcMar>
            <w:vAlign w:val="center"/>
          </w:tcPr>
          <w:p>
            <w:pPr>
              <w:autoSpaceDE w:val="0"/>
              <w:autoSpaceDN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牵头部门</w:t>
            </w:r>
          </w:p>
        </w:tc>
        <w:tc>
          <w:tcPr>
            <w:tcW w:w="1993"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参加部门</w:t>
            </w:r>
          </w:p>
        </w:tc>
        <w:tc>
          <w:tcPr>
            <w:tcW w:w="3622" w:type="dxa"/>
            <w:tcBorders>
              <w:top w:val="single" w:color="000000" w:sz="4" w:space="0"/>
              <w:left w:val="single" w:color="000000" w:sz="4" w:space="0"/>
              <w:bottom w:val="single" w:color="000000" w:sz="4" w:space="0"/>
              <w:right w:val="single" w:color="000000" w:sz="4" w:space="0"/>
            </w:tcBorders>
            <w:tcMar>
              <w:top w:w="57" w:type="dxa"/>
              <w:left w:w="28" w:type="dxa"/>
              <w:bottom w:w="57" w:type="dxa"/>
              <w:right w:w="28" w:type="dxa"/>
            </w:tcMar>
            <w:vAlign w:val="center"/>
          </w:tcPr>
          <w:p>
            <w:pPr>
              <w:autoSpaceDE w:val="0"/>
              <w:autoSpaceDN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主要职责</w:t>
            </w:r>
          </w:p>
        </w:tc>
      </w:tr>
      <w:tr>
        <w:tblPrEx>
          <w:tblCellMar>
            <w:top w:w="0" w:type="dxa"/>
            <w:left w:w="0" w:type="dxa"/>
            <w:bottom w:w="0" w:type="dxa"/>
            <w:right w:w="0" w:type="dxa"/>
          </w:tblCellMar>
        </w:tblPrEx>
        <w:trPr>
          <w:trHeight w:val="1274" w:hRule="atLeast"/>
          <w:jc w:val="center"/>
        </w:trPr>
        <w:tc>
          <w:tcPr>
            <w:tcW w:w="704"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150" w:type="dxa"/>
            <w:tcBorders>
              <w:top w:val="single" w:color="000000" w:sz="4" w:space="0"/>
              <w:left w:val="single" w:color="000000" w:sz="4" w:space="0"/>
              <w:bottom w:val="single" w:color="000000" w:sz="4" w:space="0"/>
              <w:right w:val="single" w:color="000000" w:sz="4" w:space="0"/>
            </w:tcBorders>
            <w:tcMar>
              <w:top w:w="57" w:type="dxa"/>
              <w:left w:w="28" w:type="dxa"/>
              <w:bottom w:w="57" w:type="dxa"/>
              <w:right w:w="2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综合</w:t>
            </w:r>
          </w:p>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协调组</w:t>
            </w:r>
          </w:p>
        </w:tc>
        <w:tc>
          <w:tcPr>
            <w:tcW w:w="1457"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市应急管理局</w:t>
            </w:r>
          </w:p>
        </w:tc>
        <w:tc>
          <w:tcPr>
            <w:tcW w:w="1993"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市应急管理局、市自然资源和规划局、市公安局、市人武部等</w:t>
            </w:r>
          </w:p>
        </w:tc>
        <w:tc>
          <w:tcPr>
            <w:tcW w:w="3622"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掌握火情动态、扑火方案、扑火兵力部署及火场天气情况；与扑火前线指挥部保持信息传递畅通；根据火场火情动态，起草上报有关森林火灾的各类情况报告，及时传达市委市政府领导指示精神；根据扑火需要和扑火前线指挥部要求，做好协调调度工作；汇总扑火工作情况。</w:t>
            </w:r>
          </w:p>
        </w:tc>
      </w:tr>
      <w:tr>
        <w:tblPrEx>
          <w:tblCellMar>
            <w:top w:w="0" w:type="dxa"/>
            <w:left w:w="0" w:type="dxa"/>
            <w:bottom w:w="0" w:type="dxa"/>
            <w:right w:w="0" w:type="dxa"/>
          </w:tblCellMar>
        </w:tblPrEx>
        <w:trPr>
          <w:trHeight w:val="1233" w:hRule="atLeast"/>
          <w:jc w:val="center"/>
        </w:trPr>
        <w:tc>
          <w:tcPr>
            <w:tcW w:w="704"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150" w:type="dxa"/>
            <w:tcBorders>
              <w:top w:val="single" w:color="000000" w:sz="4" w:space="0"/>
              <w:left w:val="single" w:color="000000" w:sz="4" w:space="0"/>
              <w:bottom w:val="single" w:color="000000" w:sz="4" w:space="0"/>
              <w:right w:val="single" w:color="000000" w:sz="4" w:space="0"/>
            </w:tcBorders>
            <w:tcMar>
              <w:top w:w="57" w:type="dxa"/>
              <w:left w:w="28" w:type="dxa"/>
              <w:bottom w:w="57" w:type="dxa"/>
              <w:right w:w="2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抢险</w:t>
            </w:r>
          </w:p>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救援组</w:t>
            </w:r>
          </w:p>
        </w:tc>
        <w:tc>
          <w:tcPr>
            <w:tcW w:w="1457"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市消防救援大队</w:t>
            </w:r>
          </w:p>
        </w:tc>
        <w:tc>
          <w:tcPr>
            <w:tcW w:w="1993"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市消防救援大队、市公安局、市自然资源和规划局、市应急管理局等</w:t>
            </w:r>
          </w:p>
        </w:tc>
        <w:tc>
          <w:tcPr>
            <w:tcW w:w="3622"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负责调度火场情况，标绘火场态势，制订扑火方案，协调组织扑火力量，落实扑救措施。</w:t>
            </w:r>
          </w:p>
        </w:tc>
      </w:tr>
      <w:tr>
        <w:tblPrEx>
          <w:tblCellMar>
            <w:top w:w="0" w:type="dxa"/>
            <w:left w:w="0" w:type="dxa"/>
            <w:bottom w:w="0" w:type="dxa"/>
            <w:right w:w="0" w:type="dxa"/>
          </w:tblCellMar>
        </w:tblPrEx>
        <w:trPr>
          <w:trHeight w:val="2014" w:hRule="atLeast"/>
          <w:jc w:val="center"/>
        </w:trPr>
        <w:tc>
          <w:tcPr>
            <w:tcW w:w="704"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150"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w:t>
            </w:r>
          </w:p>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保障组</w:t>
            </w:r>
          </w:p>
        </w:tc>
        <w:tc>
          <w:tcPr>
            <w:tcW w:w="1457" w:type="dxa"/>
            <w:tcBorders>
              <w:top w:val="single" w:color="000000" w:sz="4" w:space="0"/>
              <w:left w:val="single" w:color="000000" w:sz="4" w:space="0"/>
              <w:bottom w:val="single" w:color="000000" w:sz="4" w:space="0"/>
              <w:right w:val="single" w:color="000000" w:sz="4" w:space="0"/>
            </w:tcBorders>
            <w:tcMar>
              <w:top w:w="57" w:type="dxa"/>
              <w:left w:w="28" w:type="dxa"/>
              <w:bottom w:w="57" w:type="dxa"/>
              <w:right w:w="2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市工业和信息化局</w:t>
            </w:r>
          </w:p>
        </w:tc>
        <w:tc>
          <w:tcPr>
            <w:tcW w:w="1993"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市工业和信息化局、市电信局、昆山供电公司</w:t>
            </w:r>
          </w:p>
        </w:tc>
        <w:tc>
          <w:tcPr>
            <w:tcW w:w="3622"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发生森林火灾时，按应急通信的有关规定解决火场与指挥部门的通信联络；保证森林火灾扑救现场通信畅通，必要时，经批准后，可调用其他有关部门的通讯系统。</w:t>
            </w:r>
          </w:p>
        </w:tc>
      </w:tr>
      <w:tr>
        <w:tblPrEx>
          <w:tblCellMar>
            <w:top w:w="0" w:type="dxa"/>
            <w:left w:w="0" w:type="dxa"/>
            <w:bottom w:w="0" w:type="dxa"/>
            <w:right w:w="0" w:type="dxa"/>
          </w:tblCellMar>
        </w:tblPrEx>
        <w:trPr>
          <w:trHeight w:val="1342" w:hRule="atLeast"/>
          <w:jc w:val="center"/>
        </w:trPr>
        <w:tc>
          <w:tcPr>
            <w:tcW w:w="704"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150" w:type="dxa"/>
            <w:tcBorders>
              <w:top w:val="single" w:color="000000" w:sz="4" w:space="0"/>
              <w:left w:val="single" w:color="000000" w:sz="4" w:space="0"/>
              <w:bottom w:val="single" w:color="000000" w:sz="4" w:space="0"/>
              <w:right w:val="single" w:color="000000" w:sz="4" w:space="0"/>
            </w:tcBorders>
            <w:tcMar>
              <w:top w:w="57" w:type="dxa"/>
              <w:left w:w="28" w:type="dxa"/>
              <w:bottom w:w="57" w:type="dxa"/>
              <w:right w:w="2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疏散</w:t>
            </w:r>
          </w:p>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警戒组</w:t>
            </w:r>
          </w:p>
        </w:tc>
        <w:tc>
          <w:tcPr>
            <w:tcW w:w="1457"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993"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市公安局、市交通运输局等</w:t>
            </w:r>
          </w:p>
        </w:tc>
        <w:tc>
          <w:tcPr>
            <w:tcW w:w="3622"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根据扑火工作需要和市</w:t>
            </w:r>
            <w:r>
              <w:rPr>
                <w:rFonts w:hint="default" w:ascii="Times New Roman" w:hAnsi="Times New Roman" w:eastAsia="仿宋_GB2312" w:cs="Times New Roman"/>
                <w:sz w:val="24"/>
                <w:szCs w:val="24"/>
                <w:lang w:val="en-US" w:eastAsia="zh-CN"/>
              </w:rPr>
              <w:t>应急指挥部</w:t>
            </w:r>
            <w:r>
              <w:rPr>
                <w:rFonts w:hint="default" w:ascii="Times New Roman" w:hAnsi="Times New Roman" w:eastAsia="仿宋_GB2312" w:cs="Times New Roman"/>
                <w:sz w:val="24"/>
                <w:szCs w:val="24"/>
              </w:rPr>
              <w:t>的指示，及时对扑火物资和增援人员进行快速运输，对火场周边进行交通封控、临时管制。协助灾区加强治安管理和安全保卫工作，预防和打击违法犯罪活动；维护灾区社会治安；维持交通秩序。</w:t>
            </w:r>
          </w:p>
        </w:tc>
      </w:tr>
      <w:tr>
        <w:tblPrEx>
          <w:tblCellMar>
            <w:top w:w="0" w:type="dxa"/>
            <w:left w:w="0" w:type="dxa"/>
            <w:bottom w:w="0" w:type="dxa"/>
            <w:right w:w="0" w:type="dxa"/>
          </w:tblCellMar>
        </w:tblPrEx>
        <w:trPr>
          <w:trHeight w:val="319" w:hRule="atLeast"/>
          <w:jc w:val="center"/>
        </w:trPr>
        <w:tc>
          <w:tcPr>
            <w:tcW w:w="704"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150" w:type="dxa"/>
            <w:tcBorders>
              <w:top w:val="single" w:color="000000" w:sz="4" w:space="0"/>
              <w:left w:val="single" w:color="000000" w:sz="4" w:space="0"/>
              <w:bottom w:val="single" w:color="000000" w:sz="4" w:space="0"/>
              <w:right w:val="single" w:color="000000" w:sz="4" w:space="0"/>
            </w:tcBorders>
            <w:tcMar>
              <w:top w:w="57" w:type="dxa"/>
              <w:left w:w="28" w:type="dxa"/>
              <w:bottom w:w="57" w:type="dxa"/>
              <w:right w:w="2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后勤</w:t>
            </w:r>
          </w:p>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保障组</w:t>
            </w:r>
          </w:p>
        </w:tc>
        <w:tc>
          <w:tcPr>
            <w:tcW w:w="1457"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市发展和改革委员会</w:t>
            </w:r>
          </w:p>
        </w:tc>
        <w:tc>
          <w:tcPr>
            <w:tcW w:w="1993"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市发展和改革委员会（市粮食和物资储备局）、市财政局、市自然资源和规划局、市应急管理局、市水务局等。</w:t>
            </w:r>
          </w:p>
        </w:tc>
        <w:tc>
          <w:tcPr>
            <w:tcW w:w="3622"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根据应急处置工作需要，及时提供资金、物资、装备、食品、供水等方面的后勤服务和资源保障。</w:t>
            </w:r>
          </w:p>
        </w:tc>
      </w:tr>
      <w:tr>
        <w:tblPrEx>
          <w:tblCellMar>
            <w:top w:w="0" w:type="dxa"/>
            <w:left w:w="0" w:type="dxa"/>
            <w:bottom w:w="0" w:type="dxa"/>
            <w:right w:w="0" w:type="dxa"/>
          </w:tblCellMar>
        </w:tblPrEx>
        <w:trPr>
          <w:trHeight w:val="1286" w:hRule="atLeast"/>
          <w:jc w:val="center"/>
        </w:trPr>
        <w:tc>
          <w:tcPr>
            <w:tcW w:w="704"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150" w:type="dxa"/>
            <w:tcBorders>
              <w:top w:val="single" w:color="000000" w:sz="4" w:space="0"/>
              <w:left w:val="single" w:color="000000" w:sz="4" w:space="0"/>
              <w:bottom w:val="single" w:color="000000" w:sz="4" w:space="0"/>
              <w:right w:val="single" w:color="000000" w:sz="4" w:space="0"/>
            </w:tcBorders>
            <w:tcMar>
              <w:top w:w="57" w:type="dxa"/>
              <w:left w:w="28" w:type="dxa"/>
              <w:bottom w:w="57" w:type="dxa"/>
              <w:right w:w="2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w:t>
            </w:r>
          </w:p>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发布组</w:t>
            </w:r>
          </w:p>
        </w:tc>
        <w:tc>
          <w:tcPr>
            <w:tcW w:w="1457"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市委宣传部</w:t>
            </w:r>
          </w:p>
        </w:tc>
        <w:tc>
          <w:tcPr>
            <w:tcW w:w="1993"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市委宣传部、市文体广电和旅游局、市自然资源和规划局、市应急管理局、市气象局等。</w:t>
            </w:r>
          </w:p>
        </w:tc>
        <w:tc>
          <w:tcPr>
            <w:tcW w:w="3622"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组织火情和火灾扑救情况的宣传报道，协调新闻单位采访报道具体事宜；负责扑火前线指挥部的信息发布等工作。</w:t>
            </w:r>
          </w:p>
        </w:tc>
      </w:tr>
      <w:tr>
        <w:tblPrEx>
          <w:tblCellMar>
            <w:top w:w="0" w:type="dxa"/>
            <w:left w:w="0" w:type="dxa"/>
            <w:bottom w:w="0" w:type="dxa"/>
            <w:right w:w="0" w:type="dxa"/>
          </w:tblCellMar>
        </w:tblPrEx>
        <w:trPr>
          <w:trHeight w:val="666" w:hRule="atLeast"/>
          <w:jc w:val="center"/>
        </w:trPr>
        <w:tc>
          <w:tcPr>
            <w:tcW w:w="704"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150" w:type="dxa"/>
            <w:tcBorders>
              <w:top w:val="single" w:color="000000" w:sz="4" w:space="0"/>
              <w:left w:val="single" w:color="000000" w:sz="4" w:space="0"/>
              <w:bottom w:val="single" w:color="000000" w:sz="4" w:space="0"/>
              <w:right w:val="single" w:color="000000" w:sz="4" w:space="0"/>
            </w:tcBorders>
            <w:tcMar>
              <w:top w:w="57" w:type="dxa"/>
              <w:left w:w="28" w:type="dxa"/>
              <w:bottom w:w="57" w:type="dxa"/>
              <w:right w:w="2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专家</w:t>
            </w:r>
          </w:p>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咨询组</w:t>
            </w:r>
          </w:p>
        </w:tc>
        <w:tc>
          <w:tcPr>
            <w:tcW w:w="1457"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市自然资源和规划局</w:t>
            </w:r>
          </w:p>
        </w:tc>
        <w:tc>
          <w:tcPr>
            <w:tcW w:w="1993"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市自然资源和规划局、市气象局、市消防救援大队等。</w:t>
            </w:r>
          </w:p>
        </w:tc>
        <w:tc>
          <w:tcPr>
            <w:tcW w:w="3622"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生森林火灾时，召集有关专家组成专家咨询组，根据扑火进展情况、火场地形和森林资源情况、火场气象趋势等，对火情发展趋势进行科学分析、判断，就扑火战略和阶段性扑火战术等，向扑火前线指挥部提出合理化建议。</w:t>
            </w:r>
          </w:p>
        </w:tc>
      </w:tr>
      <w:tr>
        <w:tblPrEx>
          <w:tblCellMar>
            <w:top w:w="0" w:type="dxa"/>
            <w:left w:w="0" w:type="dxa"/>
            <w:bottom w:w="0" w:type="dxa"/>
            <w:right w:w="0" w:type="dxa"/>
          </w:tblCellMar>
        </w:tblPrEx>
        <w:trPr>
          <w:trHeight w:val="1027" w:hRule="atLeast"/>
          <w:jc w:val="center"/>
        </w:trPr>
        <w:tc>
          <w:tcPr>
            <w:tcW w:w="704"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150" w:type="dxa"/>
            <w:tcBorders>
              <w:top w:val="single" w:color="000000" w:sz="4" w:space="0"/>
              <w:left w:val="single" w:color="000000" w:sz="4" w:space="0"/>
              <w:bottom w:val="single" w:color="000000" w:sz="4" w:space="0"/>
              <w:right w:val="single" w:color="000000" w:sz="4" w:space="0"/>
            </w:tcBorders>
            <w:tcMar>
              <w:top w:w="57" w:type="dxa"/>
              <w:left w:w="28" w:type="dxa"/>
              <w:bottom w:w="57" w:type="dxa"/>
              <w:right w:w="2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医疗</w:t>
            </w:r>
          </w:p>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救护组</w:t>
            </w:r>
          </w:p>
        </w:tc>
        <w:tc>
          <w:tcPr>
            <w:tcW w:w="1457"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市卫生健康委员会</w:t>
            </w:r>
          </w:p>
        </w:tc>
        <w:tc>
          <w:tcPr>
            <w:tcW w:w="1993"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市卫生健康委员会、市红十字会等。</w:t>
            </w:r>
          </w:p>
        </w:tc>
        <w:tc>
          <w:tcPr>
            <w:tcW w:w="3622"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接到森林火灾灾情通报后，迅速组织医务人员赶赴现场，做好救援准备工作。</w:t>
            </w:r>
          </w:p>
        </w:tc>
      </w:tr>
      <w:tr>
        <w:tblPrEx>
          <w:tblCellMar>
            <w:top w:w="0" w:type="dxa"/>
            <w:left w:w="0" w:type="dxa"/>
            <w:bottom w:w="0" w:type="dxa"/>
            <w:right w:w="0"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1150"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转移</w:t>
            </w:r>
          </w:p>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安置组</w:t>
            </w:r>
          </w:p>
        </w:tc>
        <w:tc>
          <w:tcPr>
            <w:tcW w:w="1457" w:type="dxa"/>
            <w:tcBorders>
              <w:top w:val="single" w:color="000000" w:sz="4" w:space="0"/>
              <w:left w:val="single" w:color="000000" w:sz="4" w:space="0"/>
              <w:bottom w:val="single" w:color="000000" w:sz="4" w:space="0"/>
              <w:right w:val="single" w:color="000000" w:sz="4" w:space="0"/>
            </w:tcBorders>
            <w:tcMar>
              <w:top w:w="57" w:type="dxa"/>
              <w:left w:w="28" w:type="dxa"/>
              <w:bottom w:w="57" w:type="dxa"/>
              <w:right w:w="28" w:type="dxa"/>
            </w:tcMar>
            <w:vAlign w:val="center"/>
          </w:tcPr>
          <w:p>
            <w:pPr>
              <w:autoSpaceDE w:val="0"/>
              <w:autoSpaceDN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属地区镇</w:t>
            </w:r>
          </w:p>
        </w:tc>
        <w:tc>
          <w:tcPr>
            <w:tcW w:w="1993"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属地区镇、市民政局、市应急管理局等。</w:t>
            </w:r>
          </w:p>
        </w:tc>
        <w:tc>
          <w:tcPr>
            <w:tcW w:w="3622" w:type="dxa"/>
            <w:tcBorders>
              <w:top w:val="single" w:color="000000" w:sz="4" w:space="0"/>
              <w:left w:val="single" w:color="000000" w:sz="4" w:space="0"/>
              <w:bottom w:val="single" w:color="000000" w:sz="4" w:space="0"/>
              <w:right w:val="single" w:color="000000" w:sz="4" w:space="0"/>
            </w:tcBorders>
            <w:tcMar>
              <w:top w:w="57" w:type="dxa"/>
              <w:left w:w="108" w:type="dxa"/>
              <w:bottom w:w="57" w:type="dxa"/>
              <w:right w:w="108" w:type="dxa"/>
            </w:tcMar>
            <w:vAlign w:val="center"/>
          </w:tcPr>
          <w:p>
            <w:pPr>
              <w:autoSpaceDE w:val="0"/>
              <w:autoSpaceDN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当发生森林火灾造成灾民需要紧急转移时，做好负责协调灾民临时安置和生活保障工作。</w:t>
            </w:r>
          </w:p>
        </w:tc>
      </w:tr>
    </w:tbl>
    <w:p>
      <w:pPr>
        <w:rPr>
          <w:rFonts w:hint="default" w:ascii="Times New Roman" w:hAnsi="Times New Roman" w:eastAsia="楷体" w:cs="Times New Roman"/>
          <w:sz w:val="32"/>
          <w:szCs w:val="32"/>
        </w:rPr>
      </w:pPr>
    </w:p>
    <w:p>
      <w:pPr>
        <w:pStyle w:val="2"/>
        <w:rPr>
          <w:rFonts w:hint="default" w:ascii="Times New Roman" w:hAnsi="Times New Roman" w:cs="Times New Roman"/>
        </w:rPr>
      </w:pPr>
      <w:r>
        <w:rPr>
          <w:rFonts w:hint="default" w:ascii="Times New Roman" w:hAnsi="Times New Roman" w:cs="Times New Roman"/>
        </w:rPr>
        <w:br w:type="page"/>
      </w:r>
    </w:p>
    <w:p>
      <w:pPr>
        <w:autoSpaceDE w:val="0"/>
        <w:autoSpaceDN w:val="0"/>
        <w:snapToGrid w:val="0"/>
        <w:spacing w:line="600" w:lineRule="exact"/>
        <w:ind w:firstLine="640" w:firstLineChars="200"/>
        <w:jc w:val="left"/>
        <w:outlineLvl w:val="1"/>
        <w:rPr>
          <w:rFonts w:hint="default" w:ascii="Times New Roman" w:hAnsi="Times New Roman" w:eastAsia="楷体_GB2312" w:cs="Times New Roman"/>
          <w:sz w:val="32"/>
          <w:szCs w:val="32"/>
        </w:rPr>
      </w:pPr>
      <w:bookmarkStart w:id="86" w:name="_Toc134609968"/>
      <w:r>
        <w:rPr>
          <w:rFonts w:hint="default" w:ascii="Times New Roman" w:hAnsi="Times New Roman" w:eastAsia="楷体_GB2312" w:cs="Times New Roman"/>
          <w:sz w:val="32"/>
          <w:szCs w:val="32"/>
        </w:rPr>
        <w:t>附件3  昆山市森林火灾应急响应流程图</w:t>
      </w:r>
      <w:bookmarkEnd w:id="86"/>
    </w:p>
    <w:p>
      <w:pPr>
        <w:autoSpaceDE w:val="0"/>
        <w:autoSpaceDN w:val="0"/>
        <w:snapToGrid w:val="0"/>
        <w:spacing w:line="600" w:lineRule="exact"/>
        <w:ind w:firstLine="640" w:firstLineChars="200"/>
        <w:jc w:val="left"/>
        <w:outlineLvl w:val="1"/>
        <w:rPr>
          <w:rFonts w:hint="default" w:ascii="Times New Roman" w:hAnsi="Times New Roman" w:eastAsia="楷体_GB2312" w:cs="Times New Roman"/>
          <w:sz w:val="32"/>
          <w:szCs w:val="32"/>
        </w:rPr>
      </w:pPr>
    </w:p>
    <w:p>
      <w:pPr>
        <w:autoSpaceDE w:val="0"/>
        <w:autoSpaceDN w:val="0"/>
        <w:snapToGrid w:val="0"/>
        <w:spacing w:line="240" w:lineRule="auto"/>
        <w:jc w:val="both"/>
        <w:outlineLvl w:val="1"/>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drawing>
          <wp:inline distT="0" distB="0" distL="114300" distR="114300">
            <wp:extent cx="5748655" cy="5955665"/>
            <wp:effectExtent l="0" t="0" r="4445" b="6985"/>
            <wp:docPr id="3" name="图片 3" descr="9f3a2d195a2e4bd2655aa11ca934c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f3a2d195a2e4bd2655aa11ca934cfc"/>
                    <pic:cNvPicPr>
                      <a:picLocks noChangeAspect="1"/>
                    </pic:cNvPicPr>
                  </pic:nvPicPr>
                  <pic:blipFill>
                    <a:blip r:embed="rId10"/>
                    <a:stretch>
                      <a:fillRect/>
                    </a:stretch>
                  </pic:blipFill>
                  <pic:spPr>
                    <a:xfrm>
                      <a:off x="0" y="0"/>
                      <a:ext cx="5748655" cy="5955665"/>
                    </a:xfrm>
                    <a:prstGeom prst="rect">
                      <a:avLst/>
                    </a:prstGeom>
                  </pic:spPr>
                </pic:pic>
              </a:graphicData>
            </a:graphic>
          </wp:inline>
        </w:drawing>
      </w:r>
    </w:p>
    <w:p>
      <w:pPr>
        <w:spacing w:line="600" w:lineRule="exact"/>
        <w:rPr>
          <w:rFonts w:hint="default" w:ascii="Times New Roman" w:hAnsi="Times New Roman" w:eastAsia="方正仿宋_GBK" w:cs="Times New Roman"/>
          <w:b/>
          <w:bCs/>
          <w:sz w:val="32"/>
          <w:szCs w:val="32"/>
        </w:rPr>
      </w:pPr>
    </w:p>
    <w:p>
      <w:pPr>
        <w:spacing w:line="60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图 昆山市森林火灾应急响应流程图</w:t>
      </w:r>
    </w:p>
    <w:p>
      <w:pPr>
        <w:widowControl/>
        <w:jc w:val="left"/>
        <w:rPr>
          <w:rFonts w:hint="default" w:ascii="Times New Roman" w:hAnsi="Times New Roman" w:eastAsia="方正仿宋_GBK" w:cs="Times New Roman"/>
          <w:b/>
          <w:bCs/>
          <w:sz w:val="32"/>
          <w:szCs w:val="32"/>
        </w:rPr>
        <w:sectPr>
          <w:footerReference r:id="rId7" w:type="first"/>
          <w:pgSz w:w="11906" w:h="16838"/>
          <w:pgMar w:top="1418" w:right="1418" w:bottom="1418" w:left="1418" w:header="992" w:footer="992" w:gutter="0"/>
          <w:pgNumType w:fmt="numberInDash" w:start="1"/>
          <w:cols w:space="720" w:num="1"/>
          <w:titlePg/>
          <w:docGrid w:linePitch="312" w:charSpace="0"/>
        </w:sectPr>
      </w:pPr>
    </w:p>
    <w:p>
      <w:pPr>
        <w:autoSpaceDE w:val="0"/>
        <w:autoSpaceDN w:val="0"/>
        <w:snapToGrid w:val="0"/>
        <w:spacing w:line="600" w:lineRule="exact"/>
        <w:ind w:firstLine="640" w:firstLineChars="200"/>
        <w:jc w:val="left"/>
        <w:outlineLvl w:val="1"/>
        <w:rPr>
          <w:rFonts w:hint="default" w:ascii="Times New Roman" w:hAnsi="Times New Roman" w:eastAsia="楷体_GB2312" w:cs="Times New Roman"/>
          <w:sz w:val="32"/>
          <w:szCs w:val="32"/>
        </w:rPr>
      </w:pPr>
      <w:bookmarkStart w:id="87" w:name="_Toc8292"/>
      <w:bookmarkStart w:id="88" w:name="_Toc4010"/>
      <w:bookmarkStart w:id="89" w:name="_Toc25051"/>
      <w:bookmarkStart w:id="90" w:name="_Toc134609969"/>
      <w:bookmarkStart w:id="91" w:name="_Toc36560480"/>
      <w:bookmarkStart w:id="92" w:name="_Toc10275"/>
      <w:r>
        <w:rPr>
          <w:rFonts w:hint="default" w:ascii="Times New Roman" w:hAnsi="Times New Roman" w:eastAsia="楷体_GB2312" w:cs="Times New Roman"/>
          <w:sz w:val="32"/>
          <w:szCs w:val="32"/>
        </w:rPr>
        <w:t>附件</w:t>
      </w:r>
      <w:bookmarkStart w:id="93" w:name="_Toc24493"/>
      <w:r>
        <w:rPr>
          <w:rFonts w:hint="default" w:ascii="Times New Roman" w:hAnsi="Times New Roman" w:eastAsia="楷体_GB2312" w:cs="Times New Roman"/>
          <w:sz w:val="32"/>
          <w:szCs w:val="32"/>
        </w:rPr>
        <w:t>4  昆山市</w:t>
      </w:r>
      <w:bookmarkStart w:id="94" w:name="_Hlk134604553"/>
      <w:r>
        <w:rPr>
          <w:rFonts w:hint="default" w:ascii="Times New Roman" w:hAnsi="Times New Roman" w:eastAsia="楷体_GB2312" w:cs="Times New Roman"/>
          <w:sz w:val="32"/>
          <w:szCs w:val="32"/>
        </w:rPr>
        <w:t>处置森林火灾应急救援</w:t>
      </w:r>
      <w:bookmarkEnd w:id="94"/>
      <w:r>
        <w:rPr>
          <w:rFonts w:hint="default" w:ascii="Times New Roman" w:hAnsi="Times New Roman" w:eastAsia="楷体_GB2312" w:cs="Times New Roman"/>
          <w:sz w:val="32"/>
          <w:szCs w:val="32"/>
        </w:rPr>
        <w:t>专家组名单</w:t>
      </w:r>
      <w:bookmarkEnd w:id="87"/>
      <w:bookmarkEnd w:id="88"/>
      <w:bookmarkEnd w:id="89"/>
      <w:bookmarkEnd w:id="90"/>
      <w:bookmarkEnd w:id="91"/>
      <w:bookmarkEnd w:id="92"/>
      <w:bookmarkEnd w:id="93"/>
    </w:p>
    <w:p>
      <w:pPr>
        <w:pStyle w:val="2"/>
        <w:rPr>
          <w:rFonts w:hint="default"/>
        </w:rPr>
      </w:pPr>
    </w:p>
    <w:p>
      <w:pPr>
        <w:spacing w:line="60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昆山市处置森林火灾应急救援专家组名单</w:t>
      </w:r>
    </w:p>
    <w:tbl>
      <w:tblPr>
        <w:tblStyle w:val="9"/>
        <w:tblW w:w="13596" w:type="dxa"/>
        <w:jc w:val="center"/>
        <w:tblLayout w:type="autofit"/>
        <w:tblCellMar>
          <w:top w:w="0" w:type="dxa"/>
          <w:left w:w="108" w:type="dxa"/>
          <w:bottom w:w="0" w:type="dxa"/>
          <w:right w:w="108" w:type="dxa"/>
        </w:tblCellMar>
      </w:tblPr>
      <w:tblGrid>
        <w:gridCol w:w="888"/>
        <w:gridCol w:w="1217"/>
        <w:gridCol w:w="2078"/>
        <w:gridCol w:w="1838"/>
        <w:gridCol w:w="2907"/>
        <w:gridCol w:w="2890"/>
        <w:gridCol w:w="1778"/>
      </w:tblGrid>
      <w:tr>
        <w:tblPrEx>
          <w:tblCellMar>
            <w:top w:w="0" w:type="dxa"/>
            <w:left w:w="108" w:type="dxa"/>
            <w:bottom w:w="0" w:type="dxa"/>
            <w:right w:w="108" w:type="dxa"/>
          </w:tblCellMar>
        </w:tblPrEx>
        <w:trPr>
          <w:trHeight w:val="511" w:hRule="atLeast"/>
          <w:jc w:val="center"/>
        </w:trPr>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序号</w:t>
            </w:r>
          </w:p>
        </w:tc>
        <w:tc>
          <w:tcPr>
            <w:tcW w:w="1217"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姓名</w:t>
            </w:r>
          </w:p>
        </w:tc>
        <w:tc>
          <w:tcPr>
            <w:tcW w:w="207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专业类别</w:t>
            </w:r>
          </w:p>
        </w:tc>
        <w:tc>
          <w:tcPr>
            <w:tcW w:w="1838"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专业技术特长</w:t>
            </w:r>
          </w:p>
        </w:tc>
        <w:tc>
          <w:tcPr>
            <w:tcW w:w="2907"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职称/职务</w:t>
            </w:r>
          </w:p>
        </w:tc>
        <w:tc>
          <w:tcPr>
            <w:tcW w:w="2890"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单位</w:t>
            </w:r>
          </w:p>
        </w:tc>
        <w:tc>
          <w:tcPr>
            <w:tcW w:w="1778"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电话</w:t>
            </w:r>
          </w:p>
        </w:tc>
      </w:tr>
      <w:tr>
        <w:tblPrEx>
          <w:tblCellMar>
            <w:top w:w="0" w:type="dxa"/>
            <w:left w:w="108" w:type="dxa"/>
            <w:bottom w:w="0" w:type="dxa"/>
            <w:right w:w="108" w:type="dxa"/>
          </w:tblCellMar>
        </w:tblPrEx>
        <w:trPr>
          <w:trHeight w:val="680" w:hRule="atLeast"/>
          <w:jc w:val="center"/>
        </w:trPr>
        <w:tc>
          <w:tcPr>
            <w:tcW w:w="888"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121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rPr>
              <w:t>汤金保</w:t>
            </w:r>
          </w:p>
        </w:tc>
        <w:tc>
          <w:tcPr>
            <w:tcW w:w="207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灭火救援</w:t>
            </w:r>
          </w:p>
        </w:tc>
        <w:tc>
          <w:tcPr>
            <w:tcW w:w="1838" w:type="dxa"/>
            <w:tcBorders>
              <w:top w:val="nil"/>
              <w:left w:val="nil"/>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森林火灾</w:t>
            </w:r>
          </w:p>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rPr>
              <w:t>特种灾害救援</w:t>
            </w:r>
          </w:p>
        </w:tc>
        <w:tc>
          <w:tcPr>
            <w:tcW w:w="29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灭火救援指挥部副部长</w:t>
            </w:r>
          </w:p>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兼特种灾害救援处处长</w:t>
            </w:r>
          </w:p>
        </w:tc>
        <w:tc>
          <w:tcPr>
            <w:tcW w:w="28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rPr>
              <w:t>江苏省消防救援总队</w:t>
            </w:r>
          </w:p>
        </w:tc>
        <w:tc>
          <w:tcPr>
            <w:tcW w:w="177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rPr>
              <w:t>18816218111</w:t>
            </w:r>
          </w:p>
        </w:tc>
      </w:tr>
      <w:tr>
        <w:tblPrEx>
          <w:tblCellMar>
            <w:top w:w="0" w:type="dxa"/>
            <w:left w:w="108" w:type="dxa"/>
            <w:bottom w:w="0" w:type="dxa"/>
            <w:right w:w="108" w:type="dxa"/>
          </w:tblCellMar>
        </w:tblPrEx>
        <w:trPr>
          <w:trHeight w:val="890" w:hRule="atLeast"/>
          <w:jc w:val="center"/>
        </w:trPr>
        <w:tc>
          <w:tcPr>
            <w:tcW w:w="888"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121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rPr>
              <w:t>吴绍平</w:t>
            </w:r>
          </w:p>
        </w:tc>
        <w:tc>
          <w:tcPr>
            <w:tcW w:w="207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灭火救援</w:t>
            </w:r>
          </w:p>
        </w:tc>
        <w:tc>
          <w:tcPr>
            <w:tcW w:w="1838" w:type="dxa"/>
            <w:tcBorders>
              <w:top w:val="nil"/>
              <w:left w:val="nil"/>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森林火灾</w:t>
            </w:r>
          </w:p>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rPr>
              <w:t>特种灾害救援</w:t>
            </w:r>
          </w:p>
        </w:tc>
        <w:tc>
          <w:tcPr>
            <w:tcW w:w="29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灭火救援指挥部特种灾</w:t>
            </w:r>
          </w:p>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害救援处一级指挥员</w:t>
            </w:r>
          </w:p>
        </w:tc>
        <w:tc>
          <w:tcPr>
            <w:tcW w:w="28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rPr>
              <w:t>江苏省消防救援总队</w:t>
            </w:r>
          </w:p>
        </w:tc>
        <w:tc>
          <w:tcPr>
            <w:tcW w:w="177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rPr>
              <w:t>15996207119</w:t>
            </w:r>
          </w:p>
        </w:tc>
      </w:tr>
      <w:tr>
        <w:tblPrEx>
          <w:tblCellMar>
            <w:top w:w="0" w:type="dxa"/>
            <w:left w:w="108" w:type="dxa"/>
            <w:bottom w:w="0" w:type="dxa"/>
            <w:right w:w="108" w:type="dxa"/>
          </w:tblCellMar>
        </w:tblPrEx>
        <w:trPr>
          <w:trHeight w:val="680" w:hRule="atLeast"/>
          <w:jc w:val="center"/>
        </w:trPr>
        <w:tc>
          <w:tcPr>
            <w:tcW w:w="888"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121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高志兵</w:t>
            </w:r>
          </w:p>
        </w:tc>
        <w:tc>
          <w:tcPr>
            <w:tcW w:w="207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岩土工程</w:t>
            </w:r>
          </w:p>
        </w:tc>
        <w:tc>
          <w:tcPr>
            <w:tcW w:w="183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地震灾害风险防治</w:t>
            </w:r>
          </w:p>
        </w:tc>
        <w:tc>
          <w:tcPr>
            <w:tcW w:w="29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高级工程师、一级地震安评师</w:t>
            </w:r>
          </w:p>
        </w:tc>
        <w:tc>
          <w:tcPr>
            <w:tcW w:w="28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江苏省地震局震防中心</w:t>
            </w:r>
          </w:p>
        </w:tc>
        <w:tc>
          <w:tcPr>
            <w:tcW w:w="177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13851575146</w:t>
            </w:r>
          </w:p>
        </w:tc>
      </w:tr>
      <w:tr>
        <w:tblPrEx>
          <w:tblCellMar>
            <w:top w:w="0" w:type="dxa"/>
            <w:left w:w="108" w:type="dxa"/>
            <w:bottom w:w="0" w:type="dxa"/>
            <w:right w:w="108" w:type="dxa"/>
          </w:tblCellMar>
        </w:tblPrEx>
        <w:trPr>
          <w:trHeight w:val="680" w:hRule="atLeast"/>
          <w:jc w:val="center"/>
        </w:trPr>
        <w:tc>
          <w:tcPr>
            <w:tcW w:w="888"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w:t>
            </w:r>
          </w:p>
        </w:tc>
        <w:tc>
          <w:tcPr>
            <w:tcW w:w="121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赵启光</w:t>
            </w:r>
          </w:p>
        </w:tc>
        <w:tc>
          <w:tcPr>
            <w:tcW w:w="207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固体地球物理学</w:t>
            </w:r>
          </w:p>
        </w:tc>
        <w:tc>
          <w:tcPr>
            <w:tcW w:w="183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地震灾害风险探查、防御</w:t>
            </w:r>
          </w:p>
        </w:tc>
        <w:tc>
          <w:tcPr>
            <w:tcW w:w="29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高级工程师、地震灾害调查初级评估师</w:t>
            </w:r>
          </w:p>
        </w:tc>
        <w:tc>
          <w:tcPr>
            <w:tcW w:w="28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江苏省地震局震防中心</w:t>
            </w:r>
          </w:p>
        </w:tc>
        <w:tc>
          <w:tcPr>
            <w:tcW w:w="177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15261864099</w:t>
            </w:r>
          </w:p>
        </w:tc>
      </w:tr>
      <w:tr>
        <w:tblPrEx>
          <w:tblCellMar>
            <w:top w:w="0" w:type="dxa"/>
            <w:left w:w="108" w:type="dxa"/>
            <w:bottom w:w="0" w:type="dxa"/>
            <w:right w:w="108" w:type="dxa"/>
          </w:tblCellMar>
        </w:tblPrEx>
        <w:trPr>
          <w:trHeight w:val="680" w:hRule="atLeast"/>
          <w:jc w:val="center"/>
        </w:trPr>
        <w:tc>
          <w:tcPr>
            <w:tcW w:w="888"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121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吴珂</w:t>
            </w:r>
          </w:p>
        </w:tc>
        <w:tc>
          <w:tcPr>
            <w:tcW w:w="207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大气科学</w:t>
            </w:r>
          </w:p>
        </w:tc>
        <w:tc>
          <w:tcPr>
            <w:tcW w:w="183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综合气象业务</w:t>
            </w:r>
          </w:p>
        </w:tc>
        <w:tc>
          <w:tcPr>
            <w:tcW w:w="29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高级工程师</w:t>
            </w:r>
          </w:p>
        </w:tc>
        <w:tc>
          <w:tcPr>
            <w:tcW w:w="28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昆山市气象局</w:t>
            </w:r>
          </w:p>
        </w:tc>
        <w:tc>
          <w:tcPr>
            <w:tcW w:w="177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18962683662</w:t>
            </w:r>
          </w:p>
        </w:tc>
      </w:tr>
      <w:tr>
        <w:tblPrEx>
          <w:tblCellMar>
            <w:top w:w="0" w:type="dxa"/>
            <w:left w:w="108" w:type="dxa"/>
            <w:bottom w:w="0" w:type="dxa"/>
            <w:right w:w="108" w:type="dxa"/>
          </w:tblCellMar>
        </w:tblPrEx>
        <w:trPr>
          <w:trHeight w:val="680" w:hRule="atLeast"/>
          <w:jc w:val="center"/>
        </w:trPr>
        <w:tc>
          <w:tcPr>
            <w:tcW w:w="888"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w:t>
            </w:r>
          </w:p>
        </w:tc>
        <w:tc>
          <w:tcPr>
            <w:tcW w:w="121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陈耀东</w:t>
            </w:r>
          </w:p>
        </w:tc>
        <w:tc>
          <w:tcPr>
            <w:tcW w:w="207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大气科学、计算机</w:t>
            </w:r>
          </w:p>
        </w:tc>
        <w:tc>
          <w:tcPr>
            <w:tcW w:w="183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气象、防雷防灾检测</w:t>
            </w:r>
          </w:p>
        </w:tc>
        <w:tc>
          <w:tcPr>
            <w:tcW w:w="29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中级、防雷检测人员能力证</w:t>
            </w:r>
          </w:p>
        </w:tc>
        <w:tc>
          <w:tcPr>
            <w:tcW w:w="28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江苏昆信检测技术服务有限公司</w:t>
            </w:r>
          </w:p>
        </w:tc>
        <w:tc>
          <w:tcPr>
            <w:tcW w:w="177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18962665966</w:t>
            </w:r>
          </w:p>
        </w:tc>
      </w:tr>
      <w:tr>
        <w:tblPrEx>
          <w:tblCellMar>
            <w:top w:w="0" w:type="dxa"/>
            <w:left w:w="108" w:type="dxa"/>
            <w:bottom w:w="0" w:type="dxa"/>
            <w:right w:w="108" w:type="dxa"/>
          </w:tblCellMar>
        </w:tblPrEx>
        <w:trPr>
          <w:trHeight w:val="680" w:hRule="atLeast"/>
          <w:jc w:val="center"/>
        </w:trPr>
        <w:tc>
          <w:tcPr>
            <w:tcW w:w="888"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w:t>
            </w:r>
          </w:p>
        </w:tc>
        <w:tc>
          <w:tcPr>
            <w:tcW w:w="121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张晨</w:t>
            </w:r>
          </w:p>
        </w:tc>
        <w:tc>
          <w:tcPr>
            <w:tcW w:w="207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机械设计制造及其自动化</w:t>
            </w:r>
          </w:p>
        </w:tc>
        <w:tc>
          <w:tcPr>
            <w:tcW w:w="183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气象、防雷减灾</w:t>
            </w:r>
          </w:p>
        </w:tc>
        <w:tc>
          <w:tcPr>
            <w:tcW w:w="29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中级、防雷检测人员能力证</w:t>
            </w:r>
          </w:p>
        </w:tc>
        <w:tc>
          <w:tcPr>
            <w:tcW w:w="28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盐城市防雷设施检测有限公司苏州分公司</w:t>
            </w:r>
          </w:p>
        </w:tc>
        <w:tc>
          <w:tcPr>
            <w:tcW w:w="177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18912661171</w:t>
            </w:r>
          </w:p>
        </w:tc>
      </w:tr>
      <w:tr>
        <w:tblPrEx>
          <w:tblCellMar>
            <w:top w:w="0" w:type="dxa"/>
            <w:left w:w="108" w:type="dxa"/>
            <w:bottom w:w="0" w:type="dxa"/>
            <w:right w:w="108" w:type="dxa"/>
          </w:tblCellMar>
        </w:tblPrEx>
        <w:trPr>
          <w:trHeight w:val="680" w:hRule="atLeast"/>
          <w:jc w:val="center"/>
        </w:trPr>
        <w:tc>
          <w:tcPr>
            <w:tcW w:w="888"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w:t>
            </w:r>
          </w:p>
        </w:tc>
        <w:tc>
          <w:tcPr>
            <w:tcW w:w="121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张锋</w:t>
            </w:r>
          </w:p>
        </w:tc>
        <w:tc>
          <w:tcPr>
            <w:tcW w:w="207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制水</w:t>
            </w:r>
          </w:p>
        </w:tc>
        <w:tc>
          <w:tcPr>
            <w:tcW w:w="183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管道施工建设</w:t>
            </w:r>
          </w:p>
        </w:tc>
        <w:tc>
          <w:tcPr>
            <w:tcW w:w="29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助理工程师</w:t>
            </w:r>
          </w:p>
        </w:tc>
        <w:tc>
          <w:tcPr>
            <w:tcW w:w="28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昆山市琨澄水利水务建设管理有限公司</w:t>
            </w:r>
          </w:p>
        </w:tc>
        <w:tc>
          <w:tcPr>
            <w:tcW w:w="177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13606263995</w:t>
            </w:r>
          </w:p>
        </w:tc>
      </w:tr>
      <w:tr>
        <w:tblPrEx>
          <w:tblCellMar>
            <w:top w:w="0" w:type="dxa"/>
            <w:left w:w="108" w:type="dxa"/>
            <w:bottom w:w="0" w:type="dxa"/>
            <w:right w:w="108" w:type="dxa"/>
          </w:tblCellMar>
        </w:tblPrEx>
        <w:trPr>
          <w:trHeight w:val="689" w:hRule="atLeast"/>
          <w:jc w:val="center"/>
        </w:trPr>
        <w:tc>
          <w:tcPr>
            <w:tcW w:w="888"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w:t>
            </w:r>
          </w:p>
        </w:tc>
        <w:tc>
          <w:tcPr>
            <w:tcW w:w="121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李军</w:t>
            </w:r>
          </w:p>
        </w:tc>
        <w:tc>
          <w:tcPr>
            <w:tcW w:w="207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自动控制</w:t>
            </w:r>
          </w:p>
        </w:tc>
        <w:tc>
          <w:tcPr>
            <w:tcW w:w="183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防汛排涝</w:t>
            </w:r>
          </w:p>
        </w:tc>
        <w:tc>
          <w:tcPr>
            <w:tcW w:w="29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中级工程师、二级建造师</w:t>
            </w:r>
          </w:p>
        </w:tc>
        <w:tc>
          <w:tcPr>
            <w:tcW w:w="28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昆山市琨澄水利水务建设管理有限公司</w:t>
            </w:r>
          </w:p>
        </w:tc>
        <w:tc>
          <w:tcPr>
            <w:tcW w:w="177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13962697784</w:t>
            </w:r>
          </w:p>
        </w:tc>
      </w:tr>
    </w:tbl>
    <w:p>
      <w:pPr>
        <w:jc w:val="left"/>
        <w:rPr>
          <w:rFonts w:hint="default" w:ascii="Times New Roman" w:hAnsi="Times New Roman" w:eastAsia="方正仿宋_GBK" w:cs="Times New Roman"/>
          <w:b/>
          <w:bCs/>
          <w:sz w:val="32"/>
          <w:szCs w:val="32"/>
        </w:rPr>
      </w:pPr>
    </w:p>
    <w:p>
      <w:pPr>
        <w:jc w:val="center"/>
        <w:rPr>
          <w:rFonts w:hint="default" w:ascii="Times New Roman" w:hAnsi="Times New Roman" w:eastAsia="方正仿宋_GBK" w:cs="Times New Roman"/>
          <w:b/>
          <w:bCs/>
          <w:sz w:val="32"/>
          <w:szCs w:val="32"/>
        </w:rPr>
        <w:sectPr>
          <w:pgSz w:w="16838" w:h="11906" w:orient="landscape"/>
          <w:pgMar w:top="1418" w:right="1418" w:bottom="1418" w:left="1418" w:header="992" w:footer="992" w:gutter="0"/>
          <w:pgNumType w:fmt="numberInDash"/>
          <w:cols w:space="720" w:num="1"/>
          <w:titlePg/>
          <w:docGrid w:linePitch="312" w:charSpace="0"/>
        </w:sectPr>
      </w:pPr>
    </w:p>
    <w:p>
      <w:pPr>
        <w:autoSpaceDE w:val="0"/>
        <w:autoSpaceDN w:val="0"/>
        <w:snapToGrid w:val="0"/>
        <w:spacing w:line="600" w:lineRule="exact"/>
        <w:ind w:firstLine="640" w:firstLineChars="200"/>
        <w:jc w:val="left"/>
        <w:outlineLvl w:val="1"/>
        <w:rPr>
          <w:rFonts w:hint="default" w:ascii="Times New Roman" w:hAnsi="Times New Roman" w:eastAsia="楷体_GB2312" w:cs="Times New Roman"/>
          <w:sz w:val="32"/>
          <w:szCs w:val="32"/>
        </w:rPr>
      </w:pPr>
      <w:bookmarkStart w:id="95" w:name="_Toc134609970"/>
      <w:bookmarkStart w:id="96" w:name="_Toc30049"/>
      <w:r>
        <w:rPr>
          <w:rFonts w:hint="default" w:ascii="Times New Roman" w:hAnsi="Times New Roman" w:eastAsia="楷体_GB2312" w:cs="Times New Roman"/>
          <w:sz w:val="32"/>
          <w:szCs w:val="32"/>
        </w:rPr>
        <w:t>附件5  昆山市消防救援队伍汇总表</w:t>
      </w:r>
      <w:bookmarkEnd w:id="95"/>
      <w:bookmarkEnd w:id="96"/>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rPr>
      </w:pPr>
    </w:p>
    <w:p>
      <w:pPr>
        <w:autoSpaceDE/>
        <w:autoSpaceDN/>
        <w:snapToGrid/>
        <w:ind w:firstLine="643"/>
        <w:jc w:val="center"/>
        <w:rPr>
          <w:rFonts w:hint="eastAsia" w:ascii="仿宋_GB2312" w:hAnsi="仿宋_GB2312" w:eastAsia="仿宋_GB2312" w:cs="仿宋_GB2312"/>
          <w:b/>
          <w:bCs/>
          <w:kern w:val="2"/>
          <w:sz w:val="32"/>
          <w:szCs w:val="32"/>
        </w:rPr>
      </w:pPr>
      <w:bookmarkStart w:id="97" w:name="_Toc8679"/>
      <w:bookmarkStart w:id="98" w:name="_Toc134609971"/>
      <w:r>
        <w:rPr>
          <w:rFonts w:hint="eastAsia" w:ascii="仿宋_GB2312" w:hAnsi="仿宋_GB2312" w:eastAsia="仿宋_GB2312" w:cs="仿宋_GB2312"/>
          <w:b/>
          <w:bCs/>
          <w:kern w:val="2"/>
          <w:sz w:val="32"/>
          <w:szCs w:val="32"/>
        </w:rPr>
        <w:t>昆山市消防救援队伍汇总表</w:t>
      </w:r>
    </w:p>
    <w:tbl>
      <w:tblPr>
        <w:tblStyle w:val="9"/>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668"/>
        <w:gridCol w:w="4001"/>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b/>
                <w:bCs/>
                <w:kern w:val="0"/>
                <w:sz w:val="24"/>
                <w:szCs w:val="24"/>
              </w:rPr>
            </w:pPr>
            <w:bookmarkStart w:id="99" w:name="_Hlk132992767"/>
            <w:r>
              <w:rPr>
                <w:rFonts w:hint="default" w:ascii="Times New Roman" w:hAnsi="Times New Roman" w:eastAsia="仿宋_GB2312" w:cs="Times New Roman"/>
                <w:b/>
                <w:bCs/>
                <w:kern w:val="0"/>
                <w:sz w:val="24"/>
                <w:szCs w:val="24"/>
              </w:rPr>
              <w:t>序号</w:t>
            </w:r>
          </w:p>
        </w:tc>
        <w:tc>
          <w:tcPr>
            <w:tcW w:w="3668"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队伍名称</w:t>
            </w:r>
          </w:p>
        </w:tc>
        <w:tc>
          <w:tcPr>
            <w:tcW w:w="4001"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队伍地址</w:t>
            </w:r>
          </w:p>
        </w:tc>
        <w:tc>
          <w:tcPr>
            <w:tcW w:w="1256"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行政区划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特勤大队四站（国家队）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Style w:val="17"/>
                <w:rFonts w:hint="default" w:ascii="Times New Roman" w:hAnsi="Times New Roman" w:eastAsia="仿宋_GB2312" w:cs="Times New Roman"/>
                <w:color w:val="auto"/>
                <w:sz w:val="24"/>
                <w:szCs w:val="24"/>
                <w:lang w:val="en-US" w:eastAsia="zh-CN" w:bidi="ar"/>
              </w:rPr>
              <w:t>江苏省昆山市雁荡山路</w:t>
            </w:r>
            <w:r>
              <w:rPr>
                <w:rStyle w:val="18"/>
                <w:rFonts w:hint="default" w:ascii="Times New Roman" w:hAnsi="Times New Roman" w:eastAsia="仿宋_GB2312" w:cs="Times New Roman"/>
                <w:color w:val="auto"/>
                <w:sz w:val="24"/>
                <w:szCs w:val="24"/>
                <w:lang w:val="en-US" w:eastAsia="zh-CN" w:bidi="ar"/>
              </w:rPr>
              <w:t>66</w:t>
            </w:r>
            <w:r>
              <w:rPr>
                <w:rStyle w:val="17"/>
                <w:rFonts w:hint="default" w:ascii="Times New Roman" w:hAnsi="Times New Roman" w:eastAsia="仿宋_GB2312" w:cs="Times New Roman"/>
                <w:color w:val="auto"/>
                <w:sz w:val="24"/>
                <w:szCs w:val="24"/>
                <w:lang w:val="en-US" w:eastAsia="zh-CN" w:bidi="ar"/>
              </w:rPr>
              <w:t>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鹿城路消防救援站（国家队）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Style w:val="17"/>
                <w:rFonts w:hint="default" w:ascii="Times New Roman" w:hAnsi="Times New Roman" w:eastAsia="仿宋_GB2312" w:cs="Times New Roman"/>
                <w:color w:val="auto"/>
                <w:sz w:val="24"/>
                <w:szCs w:val="24"/>
                <w:lang w:val="en-US" w:eastAsia="zh-CN" w:bidi="ar"/>
              </w:rPr>
              <w:t>江苏省昆山市玉山镇鹿城路</w:t>
            </w:r>
            <w:r>
              <w:rPr>
                <w:rStyle w:val="18"/>
                <w:rFonts w:hint="default" w:ascii="Times New Roman" w:hAnsi="Times New Roman" w:eastAsia="仿宋_GB2312" w:cs="Times New Roman"/>
                <w:color w:val="auto"/>
                <w:sz w:val="24"/>
                <w:szCs w:val="24"/>
                <w:lang w:val="en-US" w:eastAsia="zh-CN" w:bidi="ar"/>
              </w:rPr>
              <w:t>55</w:t>
            </w:r>
            <w:r>
              <w:rPr>
                <w:rStyle w:val="17"/>
                <w:rFonts w:hint="default" w:ascii="Times New Roman" w:hAnsi="Times New Roman" w:eastAsia="仿宋_GB2312" w:cs="Times New Roman"/>
                <w:color w:val="auto"/>
                <w:sz w:val="24"/>
                <w:szCs w:val="24"/>
                <w:lang w:val="en-US" w:eastAsia="zh-CN" w:bidi="ar"/>
              </w:rPr>
              <w:t>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淀山湖政府专职消防救援队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江苏省昆山市淀山湖镇翔云路28号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淀山湖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周市政府专职消防救援队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江苏省昆山市周市镇和蔚路88号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花桥政府专职消防救援队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江苏省昆山市花桥镇沿沪大道251号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花桥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开发区政府专职消防救援队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江苏省昆山市景王路998号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张浦政府专职消防救援队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江苏省昆山市银河路11号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张浦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郭泽路政府专职消防救援队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江苏省昆山市蓬朗镇郭泽路321号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北门政府专职消防救援队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江苏省昆山市玉山镇城北路705号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陆家政府专职消防救援队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江苏省昆山市陆家镇陆建路1号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陆家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11</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柏庐政府专职消防救援队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江苏省昆山市樾阁南街苏南小商品市场第二交易厅</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锦溪政府专职消防救援队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江苏省昆山市锦溪镇百胜路148号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锦溪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光电产业园政府专职消防救援队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江苏省昆山市开发区灵江路8号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周庄政府专职消防救援队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江苏省昆山市周庄镇大桥路127号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周庄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高新区政府专职消防救援队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江苏省昆山市恒阳路66号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16</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千灯政府专职消防救援队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江苏省昆山市千灯镇联合路277号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千灯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17</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巴城政府专职消防救援队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江苏省昆山市巴城镇迎宾西路3500号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巴城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18</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石牌政府专职消防救援队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Style w:val="19"/>
                <w:rFonts w:hint="default" w:ascii="Times New Roman" w:hAnsi="Times New Roman" w:eastAsia="仿宋_GB2312" w:cs="Times New Roman"/>
                <w:color w:val="auto"/>
                <w:sz w:val="24"/>
                <w:szCs w:val="24"/>
                <w:lang w:val="en-US" w:eastAsia="zh-CN" w:bidi="ar"/>
              </w:rPr>
              <w:t>江苏省昆山市</w:t>
            </w:r>
            <w:r>
              <w:rPr>
                <w:rStyle w:val="20"/>
                <w:rFonts w:hint="default" w:ascii="Times New Roman" w:hAnsi="Times New Roman" w:eastAsia="仿宋_GB2312" w:cs="Times New Roman"/>
                <w:color w:val="auto"/>
                <w:sz w:val="24"/>
                <w:szCs w:val="24"/>
                <w:lang w:val="en-US" w:eastAsia="zh-CN" w:bidi="ar"/>
              </w:rPr>
              <w:t>002</w:t>
            </w:r>
            <w:r>
              <w:rPr>
                <w:rStyle w:val="19"/>
                <w:rFonts w:hint="default" w:ascii="Times New Roman" w:hAnsi="Times New Roman" w:eastAsia="仿宋_GB2312" w:cs="Times New Roman"/>
                <w:color w:val="auto"/>
                <w:sz w:val="24"/>
                <w:szCs w:val="24"/>
                <w:lang w:val="en-US" w:eastAsia="zh-CN" w:bidi="ar"/>
              </w:rPr>
              <w:t>县道与茆沙塘交叉口西南</w:t>
            </w:r>
            <w:r>
              <w:rPr>
                <w:rStyle w:val="20"/>
                <w:rFonts w:hint="default" w:ascii="Times New Roman" w:hAnsi="Times New Roman" w:eastAsia="仿宋_GB2312" w:cs="Times New Roman"/>
                <w:color w:val="auto"/>
                <w:sz w:val="24"/>
                <w:szCs w:val="24"/>
                <w:lang w:val="en-US" w:eastAsia="zh-CN" w:bidi="ar"/>
              </w:rPr>
              <w:t>80</w:t>
            </w:r>
            <w:r>
              <w:rPr>
                <w:rStyle w:val="19"/>
                <w:rFonts w:hint="default" w:ascii="Times New Roman" w:hAnsi="Times New Roman" w:eastAsia="仿宋_GB2312" w:cs="Times New Roman"/>
                <w:color w:val="auto"/>
                <w:sz w:val="24"/>
                <w:szCs w:val="24"/>
                <w:lang w:val="en-US" w:eastAsia="zh-CN" w:bidi="ar"/>
              </w:rPr>
              <w:t>米</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巴城</w:t>
            </w:r>
          </w:p>
        </w:tc>
      </w:tr>
      <w:bookmarkEnd w:id="99"/>
    </w:tbl>
    <w:p>
      <w:pPr>
        <w:pStyle w:val="2"/>
        <w:rPr>
          <w:rFonts w:hint="eastAsia"/>
        </w:rPr>
      </w:pP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br w:type="page"/>
      </w:r>
    </w:p>
    <w:p>
      <w:pPr>
        <w:autoSpaceDE w:val="0"/>
        <w:autoSpaceDN w:val="0"/>
        <w:snapToGrid w:val="0"/>
        <w:spacing w:line="600" w:lineRule="exact"/>
        <w:ind w:firstLine="640" w:firstLineChars="200"/>
        <w:jc w:val="left"/>
        <w:outlineLvl w:val="1"/>
        <w:rPr>
          <w:rFonts w:hint="default" w:ascii="Times New Roman" w:hAnsi="Times New Roman" w:eastAsia="楷体_GB2312" w:cs="Times New Roman"/>
          <w:sz w:val="32"/>
          <w:szCs w:val="32"/>
        </w:rPr>
        <w:sectPr>
          <w:pgSz w:w="11906" w:h="16838"/>
          <w:pgMar w:top="1417" w:right="1417" w:bottom="1417" w:left="1417" w:header="992" w:footer="992" w:gutter="0"/>
          <w:pgNumType w:fmt="numberInDash"/>
          <w:cols w:space="0" w:num="1"/>
          <w:rtlGutter w:val="0"/>
          <w:docGrid w:type="lines" w:linePitch="312" w:charSpace="0"/>
        </w:sectPr>
      </w:pPr>
    </w:p>
    <w:p>
      <w:pPr>
        <w:autoSpaceDE w:val="0"/>
        <w:autoSpaceDN w:val="0"/>
        <w:snapToGrid w:val="0"/>
        <w:spacing w:line="600" w:lineRule="exact"/>
        <w:ind w:firstLine="640" w:firstLineChars="200"/>
        <w:jc w:val="left"/>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附件6  昆山市</w:t>
      </w:r>
      <w:bookmarkEnd w:id="97"/>
      <w:r>
        <w:rPr>
          <w:rFonts w:hint="default" w:ascii="Times New Roman" w:hAnsi="Times New Roman" w:eastAsia="楷体_GB2312" w:cs="Times New Roman"/>
          <w:sz w:val="32"/>
          <w:szCs w:val="32"/>
        </w:rPr>
        <w:t>专业应急救援队伍及物资装备汇总表</w:t>
      </w:r>
      <w:bookmarkEnd w:id="98"/>
    </w:p>
    <w:p>
      <w:pPr>
        <w:pStyle w:val="2"/>
        <w:rPr>
          <w:rFonts w:hint="default"/>
        </w:rPr>
      </w:pPr>
    </w:p>
    <w:p>
      <w:pPr>
        <w:spacing w:line="600" w:lineRule="exact"/>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昆山市专业应急救援队伍及物资装备汇总表</w:t>
      </w:r>
    </w:p>
    <w:tbl>
      <w:tblPr>
        <w:tblStyle w:val="9"/>
        <w:tblW w:w="14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81"/>
        <w:gridCol w:w="1816"/>
        <w:gridCol w:w="1633"/>
        <w:gridCol w:w="1901"/>
        <w:gridCol w:w="5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04" w:type="dxa"/>
            <w:vAlign w:val="center"/>
          </w:tcPr>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序号</w:t>
            </w:r>
          </w:p>
        </w:tc>
        <w:tc>
          <w:tcPr>
            <w:tcW w:w="2681" w:type="dxa"/>
            <w:vAlign w:val="center"/>
          </w:tcPr>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专业应急救援队伍名称</w:t>
            </w:r>
          </w:p>
        </w:tc>
        <w:tc>
          <w:tcPr>
            <w:tcW w:w="1816" w:type="dxa"/>
            <w:vAlign w:val="center"/>
          </w:tcPr>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队伍负责人</w:t>
            </w:r>
          </w:p>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姓名</w:t>
            </w:r>
          </w:p>
        </w:tc>
        <w:tc>
          <w:tcPr>
            <w:tcW w:w="1633" w:type="dxa"/>
            <w:vAlign w:val="center"/>
          </w:tcPr>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队伍负责人</w:t>
            </w:r>
          </w:p>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电话</w:t>
            </w:r>
          </w:p>
        </w:tc>
        <w:tc>
          <w:tcPr>
            <w:tcW w:w="1901" w:type="dxa"/>
            <w:vAlign w:val="center"/>
          </w:tcPr>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专业应急救援</w:t>
            </w:r>
          </w:p>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方向与范围</w:t>
            </w:r>
          </w:p>
        </w:tc>
        <w:tc>
          <w:tcPr>
            <w:tcW w:w="5397" w:type="dxa"/>
            <w:vAlign w:val="center"/>
          </w:tcPr>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应急物资和装备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2681"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昆山市防汛排涝抢险队伍</w:t>
            </w:r>
          </w:p>
        </w:tc>
        <w:tc>
          <w:tcPr>
            <w:tcW w:w="1816"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顾月弟</w:t>
            </w:r>
          </w:p>
        </w:tc>
        <w:tc>
          <w:tcPr>
            <w:tcW w:w="1633"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13806265061</w:t>
            </w:r>
          </w:p>
        </w:tc>
        <w:tc>
          <w:tcPr>
            <w:tcW w:w="1901"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防汛排涝</w:t>
            </w:r>
          </w:p>
        </w:tc>
        <w:tc>
          <w:tcPr>
            <w:tcW w:w="5397" w:type="dxa"/>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大流量应急排水车、移动机泵、救生衣、草包等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04"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2681"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昆山水务集团抢修队</w:t>
            </w:r>
          </w:p>
        </w:tc>
        <w:tc>
          <w:tcPr>
            <w:tcW w:w="1816"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顾超</w:t>
            </w:r>
          </w:p>
        </w:tc>
        <w:tc>
          <w:tcPr>
            <w:tcW w:w="1633" w:type="dxa"/>
            <w:noWrap/>
            <w:vAlign w:val="center"/>
          </w:tcPr>
          <w:p>
            <w:pPr>
              <w:widowControl/>
              <w:snapToGrid w:val="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18962687180</w:t>
            </w:r>
          </w:p>
        </w:tc>
        <w:tc>
          <w:tcPr>
            <w:tcW w:w="1901"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水务管网网抢修排水排污</w:t>
            </w:r>
          </w:p>
        </w:tc>
        <w:tc>
          <w:tcPr>
            <w:tcW w:w="5397" w:type="dxa"/>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工程抢险车、联合疏通车、淤泥车、检测车、抓泥车、垃圾车、吸污车、柴油发电机、动力站、潜水泵、动力泵、发电机组、3寸柴油抽水泵等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4"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2681" w:type="dxa"/>
            <w:vAlign w:val="center"/>
          </w:tcPr>
          <w:p>
            <w:pPr>
              <w:widowControl/>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供电公司配网抢修队</w:t>
            </w:r>
          </w:p>
        </w:tc>
        <w:tc>
          <w:tcPr>
            <w:tcW w:w="1816" w:type="dxa"/>
            <w:vAlign w:val="center"/>
          </w:tcPr>
          <w:p>
            <w:pPr>
              <w:widowControl/>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储海兵</w:t>
            </w:r>
          </w:p>
        </w:tc>
        <w:tc>
          <w:tcPr>
            <w:tcW w:w="1633" w:type="dxa"/>
            <w:vAlign w:val="center"/>
          </w:tcPr>
          <w:p>
            <w:pPr>
              <w:widowControl/>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13812949072</w:t>
            </w:r>
          </w:p>
        </w:tc>
        <w:tc>
          <w:tcPr>
            <w:tcW w:w="1901"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电力抢险</w:t>
            </w:r>
          </w:p>
        </w:tc>
        <w:tc>
          <w:tcPr>
            <w:tcW w:w="5397" w:type="dxa"/>
            <w:vAlign w:val="center"/>
          </w:tcPr>
          <w:p>
            <w:pPr>
              <w:widowControl/>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油锯（台）、汽油水泵（台）、柴油发电机（台）、全方位泛光工作灯（带发电机）（台）、专业汽油链锯（台）、便携应急电源（台）、防爆强光工作灯（台）、35千伏车载变、500kW电源车等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w:t>
            </w:r>
          </w:p>
        </w:tc>
        <w:tc>
          <w:tcPr>
            <w:tcW w:w="2681"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昆山鹿通路桥养护有限公司公路养护应急抢险队</w:t>
            </w:r>
          </w:p>
        </w:tc>
        <w:tc>
          <w:tcPr>
            <w:tcW w:w="1816"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高进生</w:t>
            </w:r>
          </w:p>
        </w:tc>
        <w:tc>
          <w:tcPr>
            <w:tcW w:w="1633"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13915487805</w:t>
            </w:r>
          </w:p>
        </w:tc>
        <w:tc>
          <w:tcPr>
            <w:tcW w:w="1901"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公路保畅应急抢险</w:t>
            </w:r>
          </w:p>
        </w:tc>
        <w:tc>
          <w:tcPr>
            <w:tcW w:w="5397" w:type="dxa"/>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融雪剂洒布车、除雪车、融雪剂洒布车、防撞缓冲车、渣浆泵、随车吊、防撞缓冲车、挖掘机等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4"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2681"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昆山利通燃气有限公司应急救援队伍</w:t>
            </w:r>
          </w:p>
        </w:tc>
        <w:tc>
          <w:tcPr>
            <w:tcW w:w="1816"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朱澄宇</w:t>
            </w:r>
          </w:p>
        </w:tc>
        <w:tc>
          <w:tcPr>
            <w:tcW w:w="1633"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13913216658</w:t>
            </w:r>
          </w:p>
        </w:tc>
        <w:tc>
          <w:tcPr>
            <w:tcW w:w="1901"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城镇燃气输配及使用抢维修</w:t>
            </w:r>
          </w:p>
        </w:tc>
        <w:tc>
          <w:tcPr>
            <w:tcW w:w="5397" w:type="dxa"/>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应急抢险车、手持式燃气检测仪、激光甲烷检测仪、红外温度检测仪、真空度检测仪、汽油发电焊机、汽油发电机、热熔焊机、正压式呼吸器、手持式检漏仪等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4"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w:t>
            </w:r>
          </w:p>
        </w:tc>
        <w:tc>
          <w:tcPr>
            <w:tcW w:w="2681"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昆山华润城市燃气有限公司应急救援队伍</w:t>
            </w:r>
          </w:p>
        </w:tc>
        <w:tc>
          <w:tcPr>
            <w:tcW w:w="1816"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范裕峰</w:t>
            </w:r>
          </w:p>
        </w:tc>
        <w:tc>
          <w:tcPr>
            <w:tcW w:w="1633"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15850338831</w:t>
            </w:r>
          </w:p>
        </w:tc>
        <w:tc>
          <w:tcPr>
            <w:tcW w:w="1901"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城镇燃气输配及使用抢维修</w:t>
            </w:r>
          </w:p>
        </w:tc>
        <w:tc>
          <w:tcPr>
            <w:tcW w:w="5397" w:type="dxa"/>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应急抢险车、手持式燃气检测仪、激光甲烷检测仪、乙烷分析仪、移动压缩机、柴油发电机、正压式呼吸器、全自动电熔焊机、对接焊机、鞍型三通焊接夹具、PE管不停输双封双堵设备、防爆风机、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w:t>
            </w:r>
          </w:p>
        </w:tc>
        <w:tc>
          <w:tcPr>
            <w:tcW w:w="2681"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昆山高峰天然气有限公司应急救援队伍</w:t>
            </w:r>
          </w:p>
        </w:tc>
        <w:tc>
          <w:tcPr>
            <w:tcW w:w="1816"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周峰</w:t>
            </w:r>
          </w:p>
        </w:tc>
        <w:tc>
          <w:tcPr>
            <w:tcW w:w="1633"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13951129234</w:t>
            </w:r>
          </w:p>
        </w:tc>
        <w:tc>
          <w:tcPr>
            <w:tcW w:w="1901"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城镇燃气输配及使用抢维修</w:t>
            </w:r>
          </w:p>
        </w:tc>
        <w:tc>
          <w:tcPr>
            <w:tcW w:w="5397" w:type="dxa"/>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应急抢险车、正压式呼吸器、手持式检漏仪、电绝缘服、防爆风机、防爆毯、手提式防爆风机等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04"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w:t>
            </w:r>
          </w:p>
        </w:tc>
        <w:tc>
          <w:tcPr>
            <w:tcW w:w="2681"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昆山中石油昆仑燃气有限公司应急救援队伍</w:t>
            </w:r>
          </w:p>
        </w:tc>
        <w:tc>
          <w:tcPr>
            <w:tcW w:w="1816"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孙麟</w:t>
            </w:r>
          </w:p>
        </w:tc>
        <w:tc>
          <w:tcPr>
            <w:tcW w:w="1633"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18994445169</w:t>
            </w:r>
          </w:p>
        </w:tc>
        <w:tc>
          <w:tcPr>
            <w:tcW w:w="1901"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城镇燃气输配及使用抢维修</w:t>
            </w:r>
          </w:p>
        </w:tc>
        <w:tc>
          <w:tcPr>
            <w:tcW w:w="5397" w:type="dxa"/>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应急抢修车、发电机、防爆电箱、防爆轴流风机、电熔焊机、抽水泵、泥浆泵、防爆投射灯、长管呼吸器、正压式空气呼吸机、热熔焊机、手提式防爆风机、手持式燃气检测仪、激光甲烷检测仪、防爆绝缘电缆等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w:t>
            </w:r>
          </w:p>
        </w:tc>
        <w:tc>
          <w:tcPr>
            <w:tcW w:w="2681"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昆山市鹿通路桥工程有限公司道路应急救援队</w:t>
            </w:r>
          </w:p>
        </w:tc>
        <w:tc>
          <w:tcPr>
            <w:tcW w:w="1816"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朱昌</w:t>
            </w:r>
          </w:p>
        </w:tc>
        <w:tc>
          <w:tcPr>
            <w:tcW w:w="1633"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13912692602</w:t>
            </w:r>
          </w:p>
        </w:tc>
        <w:tc>
          <w:tcPr>
            <w:tcW w:w="1901"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道路应急救援</w:t>
            </w:r>
          </w:p>
        </w:tc>
        <w:tc>
          <w:tcPr>
            <w:tcW w:w="5397" w:type="dxa"/>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装载机、挖机、平地机、运输车、抽水泵、沙袋等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w:t>
            </w:r>
          </w:p>
        </w:tc>
        <w:tc>
          <w:tcPr>
            <w:tcW w:w="2681" w:type="dxa"/>
            <w:vAlign w:val="center"/>
          </w:tcPr>
          <w:p>
            <w:pPr>
              <w:widowControl/>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昆山市水上交通应急分队</w:t>
            </w:r>
          </w:p>
        </w:tc>
        <w:tc>
          <w:tcPr>
            <w:tcW w:w="1816"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吕浩铭</w:t>
            </w:r>
          </w:p>
        </w:tc>
        <w:tc>
          <w:tcPr>
            <w:tcW w:w="1633"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18626242227</w:t>
            </w:r>
          </w:p>
        </w:tc>
        <w:tc>
          <w:tcPr>
            <w:tcW w:w="1901" w:type="dxa"/>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水上运输抢险</w:t>
            </w:r>
          </w:p>
        </w:tc>
        <w:tc>
          <w:tcPr>
            <w:tcW w:w="5397" w:type="dxa"/>
            <w:vAlign w:val="center"/>
          </w:tcPr>
          <w:p>
            <w:pPr>
              <w:widowControl/>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冲锋舟、收油机、消防泵、多功能防污染艇、排挡艇、耐酸碱自吸泵、巡逻艇、吸油毡、围油栏等</w:t>
            </w:r>
          </w:p>
        </w:tc>
      </w:tr>
    </w:tbl>
    <w:p>
      <w:pPr>
        <w:pStyle w:val="2"/>
        <w:rPr>
          <w:rFonts w:hint="default" w:ascii="Times New Roman" w:hAnsi="Times New Roman" w:cs="Times New Roman"/>
        </w:rPr>
      </w:pPr>
    </w:p>
    <w:p>
      <w:pPr>
        <w:pStyle w:val="2"/>
        <w:rPr>
          <w:rFonts w:hint="default" w:ascii="Times New Roman" w:hAnsi="Times New Roman" w:cs="Times New Roman"/>
        </w:rPr>
      </w:pPr>
      <w:r>
        <w:rPr>
          <w:rFonts w:hint="default" w:ascii="Times New Roman" w:hAnsi="Times New Roman" w:cs="Times New Roman"/>
        </w:rPr>
        <w:br w:type="page"/>
      </w:r>
    </w:p>
    <w:p>
      <w:pPr>
        <w:autoSpaceDE w:val="0"/>
        <w:autoSpaceDN w:val="0"/>
        <w:snapToGrid w:val="0"/>
        <w:spacing w:line="600" w:lineRule="exact"/>
        <w:ind w:firstLine="640" w:firstLineChars="200"/>
        <w:jc w:val="left"/>
        <w:outlineLvl w:val="1"/>
        <w:rPr>
          <w:rFonts w:hint="default" w:ascii="Times New Roman" w:hAnsi="Times New Roman" w:eastAsia="楷体_GB2312" w:cs="Times New Roman"/>
          <w:sz w:val="32"/>
          <w:szCs w:val="32"/>
        </w:rPr>
      </w:pPr>
      <w:bookmarkStart w:id="100" w:name="_Toc134609972"/>
      <w:bookmarkStart w:id="101" w:name="_Toc10575"/>
      <w:r>
        <w:rPr>
          <w:rFonts w:hint="default" w:ascii="Times New Roman" w:hAnsi="Times New Roman" w:eastAsia="楷体_GB2312" w:cs="Times New Roman"/>
          <w:sz w:val="32"/>
          <w:szCs w:val="32"/>
        </w:rPr>
        <w:t>附件7  昆山市社会应急救援队伍及物资装备汇总表</w:t>
      </w:r>
      <w:bookmarkEnd w:id="100"/>
      <w:bookmarkEnd w:id="101"/>
    </w:p>
    <w:p>
      <w:pPr>
        <w:pStyle w:val="2"/>
        <w:rPr>
          <w:rFonts w:hint="default"/>
        </w:rPr>
      </w:pPr>
    </w:p>
    <w:p>
      <w:pPr>
        <w:jc w:val="center"/>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昆山市社会应急救援队伍及物资装备汇总表</w:t>
      </w:r>
    </w:p>
    <w:tbl>
      <w:tblPr>
        <w:tblStyle w:val="9"/>
        <w:tblW w:w="5000" w:type="pct"/>
        <w:tblInd w:w="113" w:type="dxa"/>
        <w:tblLayout w:type="autofit"/>
        <w:tblCellMar>
          <w:top w:w="0" w:type="dxa"/>
          <w:left w:w="108" w:type="dxa"/>
          <w:bottom w:w="0" w:type="dxa"/>
          <w:right w:w="108" w:type="dxa"/>
        </w:tblCellMar>
      </w:tblPr>
      <w:tblGrid>
        <w:gridCol w:w="950"/>
        <w:gridCol w:w="1861"/>
        <w:gridCol w:w="1352"/>
        <w:gridCol w:w="1730"/>
        <w:gridCol w:w="1892"/>
        <w:gridCol w:w="6435"/>
      </w:tblGrid>
      <w:tr>
        <w:tblPrEx>
          <w:tblCellMar>
            <w:top w:w="0" w:type="dxa"/>
            <w:left w:w="108" w:type="dxa"/>
            <w:bottom w:w="0" w:type="dxa"/>
            <w:right w:w="108" w:type="dxa"/>
          </w:tblCellMar>
        </w:tblPrEx>
        <w:trPr>
          <w:trHeight w:val="680" w:hRule="atLeast"/>
          <w:tblHeader/>
        </w:trPr>
        <w:tc>
          <w:tcPr>
            <w:tcW w:w="334"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b/>
                <w:bCs/>
                <w:color w:val="000000"/>
                <w:kern w:val="0"/>
                <w:sz w:val="24"/>
                <w:szCs w:val="24"/>
              </w:rPr>
            </w:pPr>
            <w:bookmarkStart w:id="102" w:name="_Toc143_WPSOffice_Level1"/>
            <w:bookmarkStart w:id="103" w:name="_Toc132015671"/>
            <w:bookmarkStart w:id="104" w:name="_Toc32222"/>
            <w:r>
              <w:rPr>
                <w:rFonts w:hint="default" w:ascii="Times New Roman" w:hAnsi="Times New Roman" w:eastAsia="仿宋_GB2312" w:cs="Times New Roman"/>
                <w:b/>
                <w:bCs/>
                <w:color w:val="000000"/>
                <w:kern w:val="0"/>
                <w:sz w:val="24"/>
                <w:szCs w:val="24"/>
              </w:rPr>
              <w:t>序号</w:t>
            </w:r>
          </w:p>
        </w:tc>
        <w:tc>
          <w:tcPr>
            <w:tcW w:w="654" w:type="pct"/>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社会应急救援队伍名称</w:t>
            </w:r>
          </w:p>
        </w:tc>
        <w:tc>
          <w:tcPr>
            <w:tcW w:w="475" w:type="pct"/>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队伍负责人</w:t>
            </w:r>
            <w:r>
              <w:rPr>
                <w:rFonts w:hint="default" w:ascii="Times New Roman" w:hAnsi="Times New Roman" w:eastAsia="仿宋_GB2312" w:cs="Times New Roman"/>
                <w:b/>
                <w:bCs/>
                <w:color w:val="000000"/>
                <w:kern w:val="0"/>
                <w:sz w:val="24"/>
                <w:szCs w:val="24"/>
                <w:lang w:val="en-US" w:eastAsia="zh-CN"/>
              </w:rPr>
              <w:t>姓名</w:t>
            </w:r>
          </w:p>
        </w:tc>
        <w:tc>
          <w:tcPr>
            <w:tcW w:w="608" w:type="pct"/>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队伍负责人电话</w:t>
            </w:r>
          </w:p>
        </w:tc>
        <w:tc>
          <w:tcPr>
            <w:tcW w:w="665" w:type="pct"/>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专业应急救援方向与范围</w:t>
            </w:r>
          </w:p>
        </w:tc>
        <w:tc>
          <w:tcPr>
            <w:tcW w:w="2261" w:type="pct"/>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应急物资和装备</w:t>
            </w:r>
          </w:p>
        </w:tc>
      </w:tr>
      <w:tr>
        <w:tblPrEx>
          <w:tblCellMar>
            <w:top w:w="0" w:type="dxa"/>
            <w:left w:w="108" w:type="dxa"/>
            <w:bottom w:w="0" w:type="dxa"/>
            <w:right w:w="108" w:type="dxa"/>
          </w:tblCellMar>
        </w:tblPrEx>
        <w:trPr>
          <w:trHeight w:val="1020" w:hRule="atLeast"/>
        </w:trPr>
        <w:tc>
          <w:tcPr>
            <w:tcW w:w="334" w:type="pct"/>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654"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昆山蓝天救援队</w:t>
            </w:r>
          </w:p>
        </w:tc>
        <w:tc>
          <w:tcPr>
            <w:tcW w:w="47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朱建强</w:t>
            </w:r>
          </w:p>
        </w:tc>
        <w:tc>
          <w:tcPr>
            <w:tcW w:w="608"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13915534889</w:t>
            </w:r>
          </w:p>
        </w:tc>
        <w:tc>
          <w:tcPr>
            <w:tcW w:w="66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深井救援，山野、水下搜救</w:t>
            </w:r>
          </w:p>
        </w:tc>
        <w:tc>
          <w:tcPr>
            <w:tcW w:w="2261" w:type="pct"/>
            <w:tcBorders>
              <w:top w:val="nil"/>
              <w:left w:val="nil"/>
              <w:bottom w:val="single" w:color="auto" w:sz="4" w:space="0"/>
              <w:right w:val="single" w:color="auto" w:sz="4" w:space="0"/>
            </w:tcBorders>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橡皮艇、水域救援装备（干衣、湿衣、浮力马甲等）、中继台、压缩气瓶、空气压缩机、油锯、破拆工具，无人机，水下机器人，声呐扫描，绳索装备，抽水泵，发电机。</w:t>
            </w:r>
          </w:p>
        </w:tc>
      </w:tr>
      <w:tr>
        <w:tblPrEx>
          <w:tblCellMar>
            <w:top w:w="0" w:type="dxa"/>
            <w:left w:w="108" w:type="dxa"/>
            <w:bottom w:w="0" w:type="dxa"/>
            <w:right w:w="108" w:type="dxa"/>
          </w:tblCellMar>
        </w:tblPrEx>
        <w:trPr>
          <w:trHeight w:val="2720" w:hRule="atLeast"/>
        </w:trPr>
        <w:tc>
          <w:tcPr>
            <w:tcW w:w="334" w:type="pct"/>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654"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昆山阜隆实业有限公司</w:t>
            </w:r>
          </w:p>
        </w:tc>
        <w:tc>
          <w:tcPr>
            <w:tcW w:w="47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李伯生</w:t>
            </w:r>
          </w:p>
        </w:tc>
        <w:tc>
          <w:tcPr>
            <w:tcW w:w="608"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13506262172</w:t>
            </w:r>
          </w:p>
        </w:tc>
        <w:tc>
          <w:tcPr>
            <w:tcW w:w="66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甲、乙、丙类危化品储存、液氨应急处置</w:t>
            </w:r>
          </w:p>
        </w:tc>
        <w:tc>
          <w:tcPr>
            <w:tcW w:w="2261" w:type="pct"/>
            <w:tcBorders>
              <w:top w:val="nil"/>
              <w:left w:val="nil"/>
              <w:bottom w:val="single" w:color="auto" w:sz="4" w:space="0"/>
              <w:right w:val="single" w:color="auto" w:sz="4" w:space="0"/>
            </w:tcBorders>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甲类仓库1250平方米、乙类仓库2680平方米、丙类仓库1900平方米，可存放溶液类、油漆类、低腐蚀性化学品（见公司许可证）；杜邦A级TK554气密型防化服2套，斯博瑞安6.8升碳瓶（空气呼吸器）2套，海固牌B级橡胶防化服4套，巴固、杜邦C级防护服4套，海固牌防毒面具、滤毒罐4套，防爆型堆高机5辆、防爆叉车1辆；便携式可燃气体报警仪1部，液氨10吨栏板车2辆、液氨专用槽罐车1台49.8立方；耐酸碱半靴6双，橡胶手套6付，压力管道堵漏器材1套，液氨钢瓶堵漏器材1套，移动式防静电释放器1套。</w:t>
            </w:r>
          </w:p>
        </w:tc>
      </w:tr>
      <w:tr>
        <w:tblPrEx>
          <w:tblCellMar>
            <w:top w:w="0" w:type="dxa"/>
            <w:left w:w="108" w:type="dxa"/>
            <w:bottom w:w="0" w:type="dxa"/>
            <w:right w:w="108" w:type="dxa"/>
          </w:tblCellMar>
        </w:tblPrEx>
        <w:trPr>
          <w:trHeight w:val="680" w:hRule="atLeast"/>
        </w:trPr>
        <w:tc>
          <w:tcPr>
            <w:tcW w:w="334" w:type="pct"/>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654"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昆山市成基新型建材有限公司</w:t>
            </w:r>
          </w:p>
        </w:tc>
        <w:tc>
          <w:tcPr>
            <w:tcW w:w="47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黄国英</w:t>
            </w:r>
          </w:p>
        </w:tc>
        <w:tc>
          <w:tcPr>
            <w:tcW w:w="608"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15050236873</w:t>
            </w:r>
          </w:p>
        </w:tc>
        <w:tc>
          <w:tcPr>
            <w:tcW w:w="66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黄沙、石灰等储存</w:t>
            </w:r>
          </w:p>
        </w:tc>
        <w:tc>
          <w:tcPr>
            <w:tcW w:w="2261" w:type="pct"/>
            <w:tcBorders>
              <w:top w:val="nil"/>
              <w:left w:val="nil"/>
              <w:bottom w:val="single" w:color="auto" w:sz="4" w:space="0"/>
              <w:right w:val="single" w:color="auto" w:sz="4" w:space="0"/>
            </w:tcBorders>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库存保供地铁沙10000吨，选矿砂2500吨，粉石灰300吨，水泥300吨。小车3辆，大车19辆。</w:t>
            </w:r>
          </w:p>
        </w:tc>
      </w:tr>
      <w:tr>
        <w:tblPrEx>
          <w:tblCellMar>
            <w:top w:w="0" w:type="dxa"/>
            <w:left w:w="108" w:type="dxa"/>
            <w:bottom w:w="0" w:type="dxa"/>
            <w:right w:w="108" w:type="dxa"/>
          </w:tblCellMar>
        </w:tblPrEx>
        <w:trPr>
          <w:trHeight w:val="2380" w:hRule="atLeast"/>
        </w:trPr>
        <w:tc>
          <w:tcPr>
            <w:tcW w:w="334" w:type="pct"/>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w:t>
            </w:r>
          </w:p>
        </w:tc>
        <w:tc>
          <w:tcPr>
            <w:tcW w:w="654"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昆山市烽火无线电应急通信保障中心</w:t>
            </w:r>
          </w:p>
        </w:tc>
        <w:tc>
          <w:tcPr>
            <w:tcW w:w="47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张学新</w:t>
            </w:r>
          </w:p>
        </w:tc>
        <w:tc>
          <w:tcPr>
            <w:tcW w:w="608"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18962692113</w:t>
            </w:r>
          </w:p>
        </w:tc>
        <w:tc>
          <w:tcPr>
            <w:tcW w:w="66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应急通信保障</w:t>
            </w:r>
          </w:p>
        </w:tc>
        <w:tc>
          <w:tcPr>
            <w:tcW w:w="2261" w:type="pct"/>
            <w:tcBorders>
              <w:top w:val="nil"/>
              <w:left w:val="nil"/>
              <w:bottom w:val="single" w:color="auto" w:sz="4" w:space="0"/>
              <w:right w:val="single" w:color="auto" w:sz="4" w:space="0"/>
            </w:tcBorders>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通信保障车2辆，2米波段测向机10套，2米波段信号源5套，手持短波测向机1套，数字集群备用机站1套，数字集群（PD780）20套，国内公网对讲机50套，Icom对讲机41套，背负军用短波电台1套，柯顿军用背负电台1套，背负短波电台2套，Icom751电台1套，短波发射八木天线1套，电子管短波电台功放1套，冲锋艇2条，传输机6套，无线电应急信号源1套，全波段电子对抗信号源1套等载波通信设备,集群通信系统设备。</w:t>
            </w:r>
          </w:p>
        </w:tc>
      </w:tr>
      <w:tr>
        <w:tblPrEx>
          <w:tblCellMar>
            <w:top w:w="0" w:type="dxa"/>
            <w:left w:w="108" w:type="dxa"/>
            <w:bottom w:w="0" w:type="dxa"/>
            <w:right w:w="108" w:type="dxa"/>
          </w:tblCellMar>
        </w:tblPrEx>
        <w:trPr>
          <w:trHeight w:val="680" w:hRule="atLeast"/>
        </w:trPr>
        <w:tc>
          <w:tcPr>
            <w:tcW w:w="334" w:type="pct"/>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654"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青岛啤酒（昆山）有限公司</w:t>
            </w:r>
          </w:p>
        </w:tc>
        <w:tc>
          <w:tcPr>
            <w:tcW w:w="47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阎德义</w:t>
            </w:r>
          </w:p>
        </w:tc>
        <w:tc>
          <w:tcPr>
            <w:tcW w:w="608"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13382513900</w:t>
            </w:r>
          </w:p>
        </w:tc>
        <w:tc>
          <w:tcPr>
            <w:tcW w:w="66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有限空间事故处置</w:t>
            </w:r>
          </w:p>
        </w:tc>
        <w:tc>
          <w:tcPr>
            <w:tcW w:w="2261" w:type="pct"/>
            <w:tcBorders>
              <w:top w:val="nil"/>
              <w:left w:val="nil"/>
              <w:bottom w:val="single" w:color="auto" w:sz="4" w:space="0"/>
              <w:right w:val="single" w:color="auto" w:sz="4" w:space="0"/>
            </w:tcBorders>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正压式空气呼吸器6套，长管呼吸器2套，氧气呼吸器1套，防化服2套，防毒面具7套，专家两人。</w:t>
            </w:r>
          </w:p>
        </w:tc>
      </w:tr>
      <w:tr>
        <w:tblPrEx>
          <w:tblCellMar>
            <w:top w:w="0" w:type="dxa"/>
            <w:left w:w="108" w:type="dxa"/>
            <w:bottom w:w="0" w:type="dxa"/>
            <w:right w:w="108" w:type="dxa"/>
          </w:tblCellMar>
        </w:tblPrEx>
        <w:trPr>
          <w:trHeight w:val="680" w:hRule="atLeast"/>
        </w:trPr>
        <w:tc>
          <w:tcPr>
            <w:tcW w:w="334" w:type="pct"/>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w:t>
            </w:r>
          </w:p>
        </w:tc>
        <w:tc>
          <w:tcPr>
            <w:tcW w:w="654"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光洋化学应用材料科技（昆山）有限公司</w:t>
            </w:r>
          </w:p>
        </w:tc>
        <w:tc>
          <w:tcPr>
            <w:tcW w:w="47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姚  真</w:t>
            </w:r>
          </w:p>
        </w:tc>
        <w:tc>
          <w:tcPr>
            <w:tcW w:w="608"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13773104700</w:t>
            </w:r>
          </w:p>
        </w:tc>
        <w:tc>
          <w:tcPr>
            <w:tcW w:w="66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氰化物应急处置</w:t>
            </w:r>
          </w:p>
        </w:tc>
        <w:tc>
          <w:tcPr>
            <w:tcW w:w="2261" w:type="pct"/>
            <w:tcBorders>
              <w:top w:val="nil"/>
              <w:left w:val="nil"/>
              <w:bottom w:val="single" w:color="auto" w:sz="4" w:space="0"/>
              <w:right w:val="single" w:color="auto" w:sz="4" w:space="0"/>
            </w:tcBorders>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正压式空气呼吸器2套、化学防护服3套、3M防毒面具6套，四合一便携式气体检测仪2部，对讲机4个，医用担架1套、急救药品若干。</w:t>
            </w:r>
          </w:p>
        </w:tc>
      </w:tr>
      <w:tr>
        <w:tblPrEx>
          <w:tblCellMar>
            <w:top w:w="0" w:type="dxa"/>
            <w:left w:w="108" w:type="dxa"/>
            <w:bottom w:w="0" w:type="dxa"/>
            <w:right w:w="108" w:type="dxa"/>
          </w:tblCellMar>
        </w:tblPrEx>
        <w:trPr>
          <w:trHeight w:val="2720" w:hRule="atLeast"/>
        </w:trPr>
        <w:tc>
          <w:tcPr>
            <w:tcW w:w="334" w:type="pct"/>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w:t>
            </w:r>
          </w:p>
        </w:tc>
        <w:tc>
          <w:tcPr>
            <w:tcW w:w="654"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中盐昆山有限公司</w:t>
            </w:r>
          </w:p>
        </w:tc>
        <w:tc>
          <w:tcPr>
            <w:tcW w:w="47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黄  健</w:t>
            </w:r>
          </w:p>
        </w:tc>
        <w:tc>
          <w:tcPr>
            <w:tcW w:w="608"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18912669506</w:t>
            </w:r>
          </w:p>
        </w:tc>
        <w:tc>
          <w:tcPr>
            <w:tcW w:w="66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综合类、液氨应急处置</w:t>
            </w:r>
          </w:p>
        </w:tc>
        <w:tc>
          <w:tcPr>
            <w:tcW w:w="2261" w:type="pct"/>
            <w:tcBorders>
              <w:top w:val="nil"/>
              <w:left w:val="nil"/>
              <w:bottom w:val="single" w:color="auto" w:sz="4" w:space="0"/>
              <w:right w:val="single" w:color="auto" w:sz="4" w:space="0"/>
            </w:tcBorders>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五十铃牌--QL1160AKFRY水罐泡沫消防车1辆，日本东发--VC52移动手抬消防泵1台，云湖--PSKDY10/40WB移动式消防炮2台，海固RHZKF6.8/30空气呼吸器9套，MZS-30苏生器2套，海固PH-3ND重型防化服3套 ,海固PH-1WP防化服7套，袖珍防爆灯15个，空气冲装泵1台，防酸碱手套20副，小孔、外封式、木质、金属、内封式堵漏套具各1套，无火花防爆工具、电磁式堵漏工具各1套，电动送风长管呼吸器2台，滤毒罐（氨）10个，滤毒罐（酸性气体）10个，工艺处置队伍6人，专职消防队人员14人。</w:t>
            </w:r>
          </w:p>
        </w:tc>
      </w:tr>
      <w:tr>
        <w:tblPrEx>
          <w:tblCellMar>
            <w:top w:w="0" w:type="dxa"/>
            <w:left w:w="108" w:type="dxa"/>
            <w:bottom w:w="0" w:type="dxa"/>
            <w:right w:w="108" w:type="dxa"/>
          </w:tblCellMar>
        </w:tblPrEx>
        <w:trPr>
          <w:trHeight w:val="1700" w:hRule="atLeast"/>
        </w:trPr>
        <w:tc>
          <w:tcPr>
            <w:tcW w:w="334" w:type="pct"/>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w:t>
            </w:r>
          </w:p>
        </w:tc>
        <w:tc>
          <w:tcPr>
            <w:tcW w:w="654"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江苏大地物流有限责任公司</w:t>
            </w:r>
          </w:p>
        </w:tc>
        <w:tc>
          <w:tcPr>
            <w:tcW w:w="47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潘中兴</w:t>
            </w:r>
          </w:p>
        </w:tc>
        <w:tc>
          <w:tcPr>
            <w:tcW w:w="608"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13962636619</w:t>
            </w:r>
          </w:p>
        </w:tc>
        <w:tc>
          <w:tcPr>
            <w:tcW w:w="66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危险货物运输泄漏应急救援联动</w:t>
            </w:r>
          </w:p>
        </w:tc>
        <w:tc>
          <w:tcPr>
            <w:tcW w:w="2261" w:type="pct"/>
            <w:tcBorders>
              <w:top w:val="nil"/>
              <w:left w:val="nil"/>
              <w:bottom w:val="single" w:color="auto" w:sz="4" w:space="0"/>
              <w:right w:val="single" w:color="auto" w:sz="4" w:space="0"/>
            </w:tcBorders>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正压式氧气呼吸机2套，空气呼吸机4套，杜邦轻型防护服6套，二级防护服6件，管道、阀门、法兰堵漏套装各1套，手动破拆工具1套，注入式堵漏工具1套，粘贴式堵漏工具1套，外封式堵漏袋1套，捆绑式堵漏带1套，木楔子套装2个，防爆真空泵2个，柴油发电机2套，GSL液氯钢瓶堵漏工具1套，1000L立方桶10个，2寸衬氟电动隔膜泵2.2KW2个。</w:t>
            </w:r>
          </w:p>
        </w:tc>
      </w:tr>
      <w:tr>
        <w:tblPrEx>
          <w:tblCellMar>
            <w:top w:w="0" w:type="dxa"/>
            <w:left w:w="108" w:type="dxa"/>
            <w:bottom w:w="0" w:type="dxa"/>
            <w:right w:w="108" w:type="dxa"/>
          </w:tblCellMar>
        </w:tblPrEx>
        <w:trPr>
          <w:trHeight w:val="1360" w:hRule="atLeast"/>
        </w:trPr>
        <w:tc>
          <w:tcPr>
            <w:tcW w:w="334" w:type="pct"/>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w:t>
            </w:r>
          </w:p>
        </w:tc>
        <w:tc>
          <w:tcPr>
            <w:tcW w:w="654"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南亚电子材料（昆山）有限公司</w:t>
            </w:r>
          </w:p>
        </w:tc>
        <w:tc>
          <w:tcPr>
            <w:tcW w:w="47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刘江伟</w:t>
            </w:r>
          </w:p>
        </w:tc>
        <w:tc>
          <w:tcPr>
            <w:tcW w:w="608"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18912693042</w:t>
            </w:r>
          </w:p>
        </w:tc>
        <w:tc>
          <w:tcPr>
            <w:tcW w:w="66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树脂类、有机溶剂应急处置</w:t>
            </w:r>
          </w:p>
        </w:tc>
        <w:tc>
          <w:tcPr>
            <w:tcW w:w="2261" w:type="pct"/>
            <w:tcBorders>
              <w:top w:val="nil"/>
              <w:left w:val="nil"/>
              <w:bottom w:val="single" w:color="auto" w:sz="4" w:space="0"/>
              <w:right w:val="single" w:color="auto" w:sz="4" w:space="0"/>
            </w:tcBorders>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T水罐消防车1辆，18T泡沫水罐消防车1辆，消防战斗服22套，消防隔热服6套，正压式空气呼吸器12具，防爆型无线对讲机5部，压缩空气泵1套，6%水成膜泡沫8吨，木质堵漏工具1套，消防沙4吨，防毒面具人均1套，VOC量测仪、四合一气体侦测仪各一部。</w:t>
            </w:r>
          </w:p>
        </w:tc>
      </w:tr>
      <w:tr>
        <w:tblPrEx>
          <w:tblCellMar>
            <w:top w:w="0" w:type="dxa"/>
            <w:left w:w="108" w:type="dxa"/>
            <w:bottom w:w="0" w:type="dxa"/>
            <w:right w:w="108" w:type="dxa"/>
          </w:tblCellMar>
        </w:tblPrEx>
        <w:trPr>
          <w:trHeight w:val="2040" w:hRule="atLeast"/>
        </w:trPr>
        <w:tc>
          <w:tcPr>
            <w:tcW w:w="334" w:type="pct"/>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w:t>
            </w:r>
          </w:p>
        </w:tc>
        <w:tc>
          <w:tcPr>
            <w:tcW w:w="654"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昆山晶科微电子材料有限公司</w:t>
            </w:r>
          </w:p>
        </w:tc>
        <w:tc>
          <w:tcPr>
            <w:tcW w:w="47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胡美艳</w:t>
            </w:r>
          </w:p>
        </w:tc>
        <w:tc>
          <w:tcPr>
            <w:tcW w:w="608"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15950180615</w:t>
            </w:r>
          </w:p>
        </w:tc>
        <w:tc>
          <w:tcPr>
            <w:tcW w:w="66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氟化氢、酸碱类应急处置</w:t>
            </w:r>
          </w:p>
        </w:tc>
        <w:tc>
          <w:tcPr>
            <w:tcW w:w="2261" w:type="pct"/>
            <w:tcBorders>
              <w:top w:val="nil"/>
              <w:left w:val="nil"/>
              <w:bottom w:val="single" w:color="auto" w:sz="4" w:space="0"/>
              <w:right w:val="single" w:color="auto" w:sz="4" w:space="0"/>
            </w:tcBorders>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重型栏板货车2辆，槽罐车（95%硫酸、68%硝酸，液碱，双氧水）4辆，斯博瑞安C900空气呼吸器4套、杜邦TK554T重防化服4套、杜邦轻型防化服10套，防毒面具10套，防酸碱手套10副，防护胶鞋10双，有毒气体探测仪2个，XY70小孔堵漏工具1套，XKLA31堵漏链卡1套，380V-5.5KW发电机组2台；现有专业人员6人（应急技术2人，医疗救护4人）。</w:t>
            </w:r>
          </w:p>
        </w:tc>
      </w:tr>
      <w:tr>
        <w:tblPrEx>
          <w:tblCellMar>
            <w:top w:w="0" w:type="dxa"/>
            <w:left w:w="108" w:type="dxa"/>
            <w:bottom w:w="0" w:type="dxa"/>
            <w:right w:w="108" w:type="dxa"/>
          </w:tblCellMar>
        </w:tblPrEx>
        <w:trPr>
          <w:trHeight w:val="1360" w:hRule="atLeast"/>
        </w:trPr>
        <w:tc>
          <w:tcPr>
            <w:tcW w:w="334" w:type="pct"/>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11</w:t>
            </w:r>
          </w:p>
        </w:tc>
        <w:tc>
          <w:tcPr>
            <w:tcW w:w="654"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昆山千灯三废净化有限公司</w:t>
            </w:r>
          </w:p>
        </w:tc>
        <w:tc>
          <w:tcPr>
            <w:tcW w:w="47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邓  华</w:t>
            </w:r>
          </w:p>
        </w:tc>
        <w:tc>
          <w:tcPr>
            <w:tcW w:w="608"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18112673676</w:t>
            </w:r>
          </w:p>
        </w:tc>
        <w:tc>
          <w:tcPr>
            <w:tcW w:w="66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废酸、废碱应急处置</w:t>
            </w:r>
          </w:p>
        </w:tc>
        <w:tc>
          <w:tcPr>
            <w:tcW w:w="2261" w:type="pct"/>
            <w:tcBorders>
              <w:top w:val="nil"/>
              <w:left w:val="nil"/>
              <w:bottom w:val="single" w:color="auto" w:sz="4" w:space="0"/>
              <w:right w:val="single" w:color="auto" w:sz="4" w:space="0"/>
            </w:tcBorders>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危险品槽罐运输车9辆、空气呼吸器5套、吸附棉4卷、220V汽油发电机1台、柴油机一体式抽水泵1台、潜水泵2台，轴流风机（含风管）2台，备用立方桶30个，防酸服13件，专业处置人员5人（电工1名、救援人员4名）。</w:t>
            </w:r>
          </w:p>
        </w:tc>
      </w:tr>
      <w:tr>
        <w:tblPrEx>
          <w:tblCellMar>
            <w:top w:w="0" w:type="dxa"/>
            <w:left w:w="108" w:type="dxa"/>
            <w:bottom w:w="0" w:type="dxa"/>
            <w:right w:w="108" w:type="dxa"/>
          </w:tblCellMar>
        </w:tblPrEx>
        <w:trPr>
          <w:trHeight w:val="2040" w:hRule="atLeast"/>
        </w:trPr>
        <w:tc>
          <w:tcPr>
            <w:tcW w:w="334" w:type="pct"/>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12</w:t>
            </w:r>
          </w:p>
        </w:tc>
        <w:tc>
          <w:tcPr>
            <w:tcW w:w="654"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昆山大洋环境净化有限公司</w:t>
            </w:r>
          </w:p>
        </w:tc>
        <w:tc>
          <w:tcPr>
            <w:tcW w:w="47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魏  炜</w:t>
            </w:r>
          </w:p>
        </w:tc>
        <w:tc>
          <w:tcPr>
            <w:tcW w:w="608"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13405677264</w:t>
            </w:r>
          </w:p>
        </w:tc>
        <w:tc>
          <w:tcPr>
            <w:tcW w:w="66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液氯应急处置</w:t>
            </w:r>
          </w:p>
        </w:tc>
        <w:tc>
          <w:tcPr>
            <w:tcW w:w="2261" w:type="pct"/>
            <w:tcBorders>
              <w:top w:val="nil"/>
              <w:left w:val="nil"/>
              <w:bottom w:val="single" w:color="auto" w:sz="4" w:space="0"/>
              <w:right w:val="single" w:color="auto" w:sz="4" w:space="0"/>
            </w:tcBorders>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15吨危化品槽罐车（酸，碱，三氯化铁）6辆，正压式呼吸器（RHZK-6.8/30）2套、全密闭防化服（HZR-A级）2套、长管式防毒面具（KRD-10）2套，化学防护服（微护佳3000）14套，氯气捕消器 （GMQTZ-25）2只、有限空间排风装置1套，堵漏铁箍（带橡胶垫）4套，液氯钢瓶专用堵漏器材1套、 氯气便携式检测仪1台、氯气专用医疗救护器材及药品1套；现有专业人员4人（抢险救援2人，医疗救护2人）。</w:t>
            </w:r>
          </w:p>
        </w:tc>
      </w:tr>
      <w:tr>
        <w:tblPrEx>
          <w:tblCellMar>
            <w:top w:w="0" w:type="dxa"/>
            <w:left w:w="108" w:type="dxa"/>
            <w:bottom w:w="0" w:type="dxa"/>
            <w:right w:w="108" w:type="dxa"/>
          </w:tblCellMar>
        </w:tblPrEx>
        <w:trPr>
          <w:trHeight w:val="1020" w:hRule="atLeast"/>
        </w:trPr>
        <w:tc>
          <w:tcPr>
            <w:tcW w:w="334" w:type="pct"/>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w:t>
            </w:r>
          </w:p>
        </w:tc>
        <w:tc>
          <w:tcPr>
            <w:tcW w:w="654"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昆山市农业生产资料有限公司肥药化学品储备仓库</w:t>
            </w:r>
          </w:p>
        </w:tc>
        <w:tc>
          <w:tcPr>
            <w:tcW w:w="47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陈  刚</w:t>
            </w:r>
          </w:p>
        </w:tc>
        <w:tc>
          <w:tcPr>
            <w:tcW w:w="608"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13962681022</w:t>
            </w:r>
          </w:p>
        </w:tc>
        <w:tc>
          <w:tcPr>
            <w:tcW w:w="66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丙类危化品储存应急处置</w:t>
            </w:r>
          </w:p>
        </w:tc>
        <w:tc>
          <w:tcPr>
            <w:tcW w:w="2261" w:type="pct"/>
            <w:tcBorders>
              <w:top w:val="nil"/>
              <w:left w:val="nil"/>
              <w:bottom w:val="single" w:color="auto" w:sz="4" w:space="0"/>
              <w:right w:val="single" w:color="auto" w:sz="4" w:space="0"/>
            </w:tcBorders>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正压式呼吸器2套，围油栏7条，隔爆型防爆轴流风机（CBF-400）1台，防爆型排污泵（100WQB100-10-5.5）1台；消防战斗服6套。</w:t>
            </w:r>
          </w:p>
        </w:tc>
      </w:tr>
      <w:tr>
        <w:tblPrEx>
          <w:tblCellMar>
            <w:top w:w="0" w:type="dxa"/>
            <w:left w:w="108" w:type="dxa"/>
            <w:bottom w:w="0" w:type="dxa"/>
            <w:right w:w="108" w:type="dxa"/>
          </w:tblCellMar>
        </w:tblPrEx>
        <w:trPr>
          <w:trHeight w:val="1020" w:hRule="atLeast"/>
        </w:trPr>
        <w:tc>
          <w:tcPr>
            <w:tcW w:w="334" w:type="pct"/>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14</w:t>
            </w:r>
          </w:p>
        </w:tc>
        <w:tc>
          <w:tcPr>
            <w:tcW w:w="654"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昆山市利群固废处理有限公司</w:t>
            </w:r>
          </w:p>
        </w:tc>
        <w:tc>
          <w:tcPr>
            <w:tcW w:w="47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曾贵平</w:t>
            </w:r>
          </w:p>
        </w:tc>
        <w:tc>
          <w:tcPr>
            <w:tcW w:w="608"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19951572360</w:t>
            </w:r>
          </w:p>
        </w:tc>
        <w:tc>
          <w:tcPr>
            <w:tcW w:w="665" w:type="pct"/>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固废处理</w:t>
            </w:r>
          </w:p>
        </w:tc>
        <w:tc>
          <w:tcPr>
            <w:tcW w:w="2261" w:type="pct"/>
            <w:tcBorders>
              <w:top w:val="nil"/>
              <w:left w:val="nil"/>
              <w:bottom w:val="single" w:color="auto" w:sz="4" w:space="0"/>
              <w:right w:val="single" w:color="auto" w:sz="4" w:space="0"/>
            </w:tcBorders>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消防战斗服（头盔、手套、靴子）6套，正压式空气呼吸器2套，隔热服2套，化学防护服2套，吸油棉20片，潜水泵2套，吨桶、吨袋等包装物若干。</w:t>
            </w:r>
          </w:p>
        </w:tc>
      </w:tr>
    </w:tbl>
    <w:p>
      <w:pPr>
        <w:widowControl/>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br w:type="page"/>
      </w:r>
    </w:p>
    <w:p>
      <w:pPr>
        <w:autoSpaceDE w:val="0"/>
        <w:autoSpaceDN w:val="0"/>
        <w:snapToGrid w:val="0"/>
        <w:spacing w:line="600" w:lineRule="exact"/>
        <w:ind w:firstLine="640" w:firstLineChars="200"/>
        <w:jc w:val="left"/>
        <w:outlineLvl w:val="1"/>
        <w:rPr>
          <w:rFonts w:hint="default" w:ascii="Times New Roman" w:hAnsi="Times New Roman" w:eastAsia="楷体_GB2312" w:cs="Times New Roman"/>
          <w:sz w:val="32"/>
          <w:szCs w:val="32"/>
        </w:rPr>
      </w:pPr>
      <w:bookmarkStart w:id="105" w:name="_Toc134609973"/>
      <w:r>
        <w:rPr>
          <w:rFonts w:hint="default" w:ascii="Times New Roman" w:hAnsi="Times New Roman" w:eastAsia="楷体_GB2312" w:cs="Times New Roman"/>
          <w:sz w:val="32"/>
          <w:szCs w:val="32"/>
        </w:rPr>
        <w:t xml:space="preserve">附件8 </w:t>
      </w:r>
      <w:bookmarkEnd w:id="102"/>
      <w:bookmarkEnd w:id="103"/>
      <w:bookmarkStart w:id="106" w:name="_Toc23380_WPSOffice_Level1"/>
      <w:r>
        <w:rPr>
          <w:rFonts w:hint="default" w:ascii="Times New Roman" w:hAnsi="Times New Roman" w:eastAsia="楷体_GB2312" w:cs="Times New Roman"/>
          <w:sz w:val="32"/>
          <w:szCs w:val="32"/>
        </w:rPr>
        <w:t xml:space="preserve"> 昆山市应急避难场所汇总表</w:t>
      </w:r>
      <w:bookmarkEnd w:id="104"/>
      <w:bookmarkEnd w:id="105"/>
      <w:bookmarkEnd w:id="106"/>
    </w:p>
    <w:p>
      <w:pPr>
        <w:pStyle w:val="2"/>
        <w:rPr>
          <w:rFonts w:hint="default"/>
        </w:rPr>
      </w:pP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sz w:val="32"/>
          <w:szCs w:val="32"/>
        </w:rPr>
        <w:t>昆山市应急避难场所汇总表</w:t>
      </w:r>
    </w:p>
    <w:tbl>
      <w:tblPr>
        <w:tblStyle w:val="9"/>
        <w:tblW w:w="13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916"/>
        <w:gridCol w:w="1534"/>
        <w:gridCol w:w="1838"/>
        <w:gridCol w:w="1844"/>
        <w:gridCol w:w="1980"/>
        <w:gridCol w:w="154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blHeader/>
          <w:jc w:val="center"/>
        </w:trPr>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应急避难场所名称</w:t>
            </w:r>
          </w:p>
        </w:tc>
        <w:tc>
          <w:tcPr>
            <w:tcW w:w="15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所属区镇</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场所类别</w:t>
            </w:r>
          </w:p>
          <w:p>
            <w:pPr>
              <w:autoSpaceDE w:val="0"/>
              <w:autoSpaceDN w:val="0"/>
              <w:snapToGrid w:val="0"/>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（中心/固定）</w:t>
            </w:r>
          </w:p>
        </w:tc>
        <w:tc>
          <w:tcPr>
            <w:tcW w:w="18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占地面积</w:t>
            </w:r>
          </w:p>
          <w:p>
            <w:pPr>
              <w:autoSpaceDE w:val="0"/>
              <w:autoSpaceDN w:val="0"/>
              <w:snapToGrid w:val="0"/>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（万平方米）</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有效避难面积</w:t>
            </w:r>
          </w:p>
          <w:p>
            <w:pPr>
              <w:autoSpaceDE w:val="0"/>
              <w:autoSpaceDN w:val="0"/>
              <w:snapToGrid w:val="0"/>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（万平方米）</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避难人数</w:t>
            </w:r>
          </w:p>
          <w:p>
            <w:pPr>
              <w:autoSpaceDE w:val="0"/>
              <w:autoSpaceDN w:val="0"/>
              <w:snapToGrid w:val="0"/>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（万人）</w:t>
            </w: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建成时间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周市体育生态公园</w:t>
            </w:r>
          </w:p>
        </w:tc>
        <w:tc>
          <w:tcPr>
            <w:tcW w:w="15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周市</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中心</w:t>
            </w:r>
          </w:p>
        </w:tc>
        <w:tc>
          <w:tcPr>
            <w:tcW w:w="18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52.5</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4.66</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w:t>
            </w: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森林公园</w:t>
            </w:r>
          </w:p>
        </w:tc>
        <w:tc>
          <w:tcPr>
            <w:tcW w:w="15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高新区</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中心</w:t>
            </w:r>
          </w:p>
        </w:tc>
        <w:tc>
          <w:tcPr>
            <w:tcW w:w="18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170</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花桥国际博览中心</w:t>
            </w:r>
          </w:p>
        </w:tc>
        <w:tc>
          <w:tcPr>
            <w:tcW w:w="15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花桥</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18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21.65</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3.53</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1.32</w:t>
            </w: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巴解公园</w:t>
            </w:r>
          </w:p>
        </w:tc>
        <w:tc>
          <w:tcPr>
            <w:tcW w:w="15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巴城</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18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2.11</w:t>
            </w: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黄浦公园</w:t>
            </w:r>
          </w:p>
        </w:tc>
        <w:tc>
          <w:tcPr>
            <w:tcW w:w="15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开发区</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18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8.5</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0.49</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0.23</w:t>
            </w: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张浦中心公园</w:t>
            </w:r>
          </w:p>
        </w:tc>
        <w:tc>
          <w:tcPr>
            <w:tcW w:w="15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张浦</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18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千灯公园</w:t>
            </w:r>
          </w:p>
        </w:tc>
        <w:tc>
          <w:tcPr>
            <w:tcW w:w="15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千灯</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18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13.44</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w:t>
            </w: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城市公园</w:t>
            </w:r>
          </w:p>
        </w:tc>
        <w:tc>
          <w:tcPr>
            <w:tcW w:w="15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开发区</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18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7.8</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0.63</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0.23</w:t>
            </w: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周市公园</w:t>
            </w:r>
          </w:p>
        </w:tc>
        <w:tc>
          <w:tcPr>
            <w:tcW w:w="15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周市</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18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3.9</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0.77</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0.36</w:t>
            </w: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融汇公园</w:t>
            </w:r>
          </w:p>
        </w:tc>
        <w:tc>
          <w:tcPr>
            <w:tcW w:w="15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高新区</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18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0.77</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0.31</w:t>
            </w: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玉湖公园</w:t>
            </w:r>
          </w:p>
        </w:tc>
        <w:tc>
          <w:tcPr>
            <w:tcW w:w="15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高新区</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18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13.7</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0.79</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0.36</w:t>
            </w: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南星渎郊野公园</w:t>
            </w:r>
          </w:p>
        </w:tc>
        <w:tc>
          <w:tcPr>
            <w:tcW w:w="15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高新区</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18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5.6</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0.44</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0.21</w:t>
            </w: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好人公园</w:t>
            </w:r>
          </w:p>
        </w:tc>
        <w:tc>
          <w:tcPr>
            <w:tcW w:w="15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开发区</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18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8.2</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0.93</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0.4</w:t>
            </w: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2021.12</w:t>
            </w:r>
          </w:p>
        </w:tc>
      </w:tr>
    </w:tbl>
    <w:p>
      <w:pPr>
        <w:tabs>
          <w:tab w:val="left" w:pos="2370"/>
          <w:tab w:val="left" w:pos="2520"/>
          <w:tab w:val="left" w:pos="5715"/>
        </w:tabs>
        <w:spacing w:line="600" w:lineRule="exact"/>
        <w:jc w:val="center"/>
        <w:rPr>
          <w:rFonts w:hint="default" w:ascii="Times New Roman" w:hAnsi="Times New Roman" w:eastAsia="方正仿宋_GBK" w:cs="Times New Roman"/>
          <w:b/>
          <w:sz w:val="32"/>
          <w:szCs w:val="32"/>
        </w:rPr>
        <w:sectPr>
          <w:pgSz w:w="16838" w:h="11906" w:orient="landscape"/>
          <w:pgMar w:top="1417" w:right="1417" w:bottom="1417" w:left="1417" w:header="992" w:footer="992" w:gutter="0"/>
          <w:pgNumType w:fmt="numberInDash"/>
          <w:cols w:space="0" w:num="1"/>
          <w:rtlGutter w:val="0"/>
          <w:docGrid w:type="lines" w:linePitch="312" w:charSpace="0"/>
        </w:sectPr>
      </w:pPr>
    </w:p>
    <w:p>
      <w:pPr>
        <w:tabs>
          <w:tab w:val="left" w:pos="2370"/>
          <w:tab w:val="left" w:pos="2520"/>
          <w:tab w:val="left" w:pos="5715"/>
        </w:tabs>
        <w:spacing w:line="60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修订页</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26"/>
        <w:gridCol w:w="1311"/>
        <w:gridCol w:w="4293"/>
        <w:gridCol w:w="19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exact"/>
          <w:tblHeader/>
          <w:jc w:val="center"/>
        </w:trPr>
        <w:tc>
          <w:tcPr>
            <w:tcW w:w="1226" w:type="dxa"/>
            <w:tcBorders>
              <w:bottom w:val="single" w:color="auto" w:sz="6" w:space="0"/>
            </w:tcBorders>
            <w:vAlign w:val="center"/>
          </w:tcPr>
          <w:p>
            <w:pPr>
              <w:snapToGrid w:val="0"/>
              <w:jc w:val="center"/>
              <w:rPr>
                <w:rFonts w:hint="default" w:ascii="Times New Roman" w:hAnsi="Times New Roman" w:eastAsia="仿宋_GB2312" w:cs="Times New Roman"/>
                <w:b/>
                <w:sz w:val="28"/>
                <w:szCs w:val="28"/>
              </w:rPr>
            </w:pPr>
            <w:bookmarkStart w:id="107" w:name="_Toc468126011"/>
            <w:bookmarkStart w:id="108" w:name="_Toc467492602"/>
            <w:r>
              <w:rPr>
                <w:rFonts w:hint="default" w:ascii="Times New Roman" w:hAnsi="Times New Roman" w:eastAsia="仿宋_GB2312" w:cs="Times New Roman"/>
                <w:b/>
                <w:sz w:val="28"/>
                <w:szCs w:val="28"/>
              </w:rPr>
              <w:t>序号</w:t>
            </w:r>
            <w:bookmarkEnd w:id="107"/>
            <w:bookmarkEnd w:id="108"/>
          </w:p>
        </w:tc>
        <w:tc>
          <w:tcPr>
            <w:tcW w:w="1311" w:type="dxa"/>
            <w:tcBorders>
              <w:bottom w:val="single" w:color="auto" w:sz="6" w:space="0"/>
            </w:tcBorders>
            <w:vAlign w:val="center"/>
          </w:tcPr>
          <w:p>
            <w:pPr>
              <w:snapToGrid w:val="0"/>
              <w:jc w:val="center"/>
              <w:rPr>
                <w:rFonts w:hint="default" w:ascii="Times New Roman" w:hAnsi="Times New Roman" w:eastAsia="仿宋_GB2312" w:cs="Times New Roman"/>
                <w:b/>
                <w:sz w:val="28"/>
                <w:szCs w:val="28"/>
              </w:rPr>
            </w:pPr>
            <w:bookmarkStart w:id="109" w:name="_Toc468126123"/>
            <w:bookmarkStart w:id="110" w:name="_Toc467492603"/>
            <w:bookmarkStart w:id="111" w:name="_Toc468126012"/>
            <w:r>
              <w:rPr>
                <w:rFonts w:hint="default" w:ascii="Times New Roman" w:hAnsi="Times New Roman" w:eastAsia="仿宋_GB2312" w:cs="Times New Roman"/>
                <w:b/>
                <w:sz w:val="28"/>
                <w:szCs w:val="28"/>
              </w:rPr>
              <w:t>章节</w:t>
            </w:r>
            <w:bookmarkEnd w:id="109"/>
            <w:bookmarkEnd w:id="110"/>
            <w:bookmarkEnd w:id="111"/>
            <w:r>
              <w:rPr>
                <w:rFonts w:hint="default" w:ascii="Times New Roman" w:hAnsi="Times New Roman" w:eastAsia="仿宋_GB2312" w:cs="Times New Roman"/>
                <w:b/>
                <w:sz w:val="28"/>
                <w:szCs w:val="28"/>
              </w:rPr>
              <w:t>号</w:t>
            </w:r>
          </w:p>
        </w:tc>
        <w:tc>
          <w:tcPr>
            <w:tcW w:w="4293" w:type="dxa"/>
            <w:tcBorders>
              <w:bottom w:val="single" w:color="auto" w:sz="6" w:space="0"/>
            </w:tcBorders>
            <w:vAlign w:val="center"/>
          </w:tcPr>
          <w:p>
            <w:pPr>
              <w:snapToGrid w:val="0"/>
              <w:ind w:firstLine="281" w:firstLineChars="100"/>
              <w:jc w:val="center"/>
              <w:rPr>
                <w:rFonts w:hint="default" w:ascii="Times New Roman" w:hAnsi="Times New Roman" w:eastAsia="仿宋_GB2312" w:cs="Times New Roman"/>
                <w:b/>
                <w:sz w:val="28"/>
                <w:szCs w:val="28"/>
              </w:rPr>
            </w:pPr>
            <w:bookmarkStart w:id="112" w:name="_Toc468126124"/>
            <w:bookmarkStart w:id="113" w:name="_Toc468126013"/>
            <w:bookmarkStart w:id="114" w:name="_Toc468126230"/>
            <w:bookmarkStart w:id="115" w:name="_Toc467492604"/>
            <w:r>
              <w:rPr>
                <w:rFonts w:hint="default" w:ascii="Times New Roman" w:hAnsi="Times New Roman" w:eastAsia="仿宋_GB2312" w:cs="Times New Roman"/>
                <w:b/>
                <w:sz w:val="28"/>
                <w:szCs w:val="28"/>
              </w:rPr>
              <w:t>修订内容</w:t>
            </w:r>
            <w:bookmarkEnd w:id="112"/>
            <w:bookmarkEnd w:id="113"/>
            <w:bookmarkEnd w:id="114"/>
            <w:bookmarkEnd w:id="115"/>
          </w:p>
        </w:tc>
        <w:tc>
          <w:tcPr>
            <w:tcW w:w="1902" w:type="dxa"/>
            <w:tcBorders>
              <w:bottom w:val="single" w:color="auto" w:sz="6" w:space="0"/>
            </w:tcBorders>
            <w:vAlign w:val="center"/>
          </w:tcPr>
          <w:p>
            <w:pPr>
              <w:snapToGrid w:val="0"/>
              <w:jc w:val="center"/>
              <w:rPr>
                <w:rFonts w:hint="default" w:ascii="Times New Roman" w:hAnsi="Times New Roman" w:eastAsia="仿宋_GB2312" w:cs="Times New Roman"/>
                <w:b/>
                <w:sz w:val="28"/>
                <w:szCs w:val="28"/>
              </w:rPr>
            </w:pPr>
            <w:bookmarkStart w:id="116" w:name="_Toc467492608"/>
            <w:bookmarkStart w:id="117" w:name="_Toc468126128"/>
            <w:bookmarkStart w:id="118" w:name="_Toc468126017"/>
            <w:bookmarkStart w:id="119" w:name="_Toc468126234"/>
            <w:r>
              <w:rPr>
                <w:rFonts w:hint="default" w:ascii="Times New Roman" w:hAnsi="Times New Roman" w:eastAsia="仿宋_GB2312" w:cs="Times New Roman"/>
                <w:b/>
                <w:sz w:val="28"/>
                <w:szCs w:val="28"/>
              </w:rPr>
              <w:t>修订日期</w:t>
            </w:r>
            <w:bookmarkEnd w:id="116"/>
            <w:bookmarkEnd w:id="117"/>
            <w:bookmarkEnd w:id="118"/>
            <w:bookmarkEnd w:id="1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exact"/>
          <w:jc w:val="center"/>
        </w:trPr>
        <w:tc>
          <w:tcPr>
            <w:tcW w:w="1226"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w:t>
            </w:r>
          </w:p>
        </w:tc>
        <w:tc>
          <w:tcPr>
            <w:tcW w:w="1311"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封面</w:t>
            </w:r>
          </w:p>
        </w:tc>
        <w:tc>
          <w:tcPr>
            <w:tcW w:w="4293" w:type="dxa"/>
            <w:tcBorders>
              <w:bottom w:val="single" w:color="auto" w:sz="6" w:space="0"/>
            </w:tcBorders>
            <w:vAlign w:val="center"/>
          </w:tcPr>
          <w:p>
            <w:pPr>
              <w:snapToGrid w:val="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增加“封面”。</w:t>
            </w:r>
          </w:p>
        </w:tc>
        <w:tc>
          <w:tcPr>
            <w:tcW w:w="1902"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8" w:hRule="exact"/>
          <w:jc w:val="center"/>
        </w:trPr>
        <w:tc>
          <w:tcPr>
            <w:tcW w:w="1226"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w:t>
            </w:r>
          </w:p>
        </w:tc>
        <w:tc>
          <w:tcPr>
            <w:tcW w:w="1311"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编制</w:t>
            </w:r>
          </w:p>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说明</w:t>
            </w:r>
          </w:p>
        </w:tc>
        <w:tc>
          <w:tcPr>
            <w:tcW w:w="4293" w:type="dxa"/>
            <w:tcBorders>
              <w:bottom w:val="single" w:color="auto" w:sz="6" w:space="0"/>
            </w:tcBorders>
            <w:vAlign w:val="center"/>
          </w:tcPr>
          <w:p>
            <w:pPr>
              <w:snapToGrid w:val="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增加“编制说明”。</w:t>
            </w:r>
          </w:p>
        </w:tc>
        <w:tc>
          <w:tcPr>
            <w:tcW w:w="1902"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8" w:hRule="exact"/>
          <w:jc w:val="center"/>
        </w:trPr>
        <w:tc>
          <w:tcPr>
            <w:tcW w:w="1226"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w:t>
            </w:r>
          </w:p>
        </w:tc>
        <w:tc>
          <w:tcPr>
            <w:tcW w:w="1311"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目录</w:t>
            </w:r>
          </w:p>
        </w:tc>
        <w:tc>
          <w:tcPr>
            <w:tcW w:w="4293" w:type="dxa"/>
            <w:tcBorders>
              <w:bottom w:val="single" w:color="auto" w:sz="6" w:space="0"/>
            </w:tcBorders>
            <w:vAlign w:val="center"/>
          </w:tcPr>
          <w:p>
            <w:pPr>
              <w:snapToGrid w:val="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修订“目录”。</w:t>
            </w:r>
          </w:p>
        </w:tc>
        <w:tc>
          <w:tcPr>
            <w:tcW w:w="1902"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exact"/>
          <w:jc w:val="center"/>
        </w:trPr>
        <w:tc>
          <w:tcPr>
            <w:tcW w:w="1226"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w:t>
            </w:r>
          </w:p>
        </w:tc>
        <w:tc>
          <w:tcPr>
            <w:tcW w:w="1311"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1.1</w:t>
            </w:r>
          </w:p>
        </w:tc>
        <w:tc>
          <w:tcPr>
            <w:tcW w:w="4293" w:type="dxa"/>
            <w:tcBorders>
              <w:bottom w:val="single" w:color="auto" w:sz="6" w:space="0"/>
            </w:tcBorders>
            <w:vAlign w:val="center"/>
          </w:tcPr>
          <w:p>
            <w:pPr>
              <w:snapToGrid w:val="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修订“编制目的”。</w:t>
            </w:r>
          </w:p>
        </w:tc>
        <w:tc>
          <w:tcPr>
            <w:tcW w:w="1902"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exact"/>
          <w:jc w:val="center"/>
        </w:trPr>
        <w:tc>
          <w:tcPr>
            <w:tcW w:w="1226"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w:t>
            </w:r>
          </w:p>
        </w:tc>
        <w:tc>
          <w:tcPr>
            <w:tcW w:w="1311"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1.5</w:t>
            </w:r>
          </w:p>
        </w:tc>
        <w:tc>
          <w:tcPr>
            <w:tcW w:w="4293" w:type="dxa"/>
            <w:tcBorders>
              <w:bottom w:val="single" w:color="auto" w:sz="6" w:space="0"/>
            </w:tcBorders>
            <w:vAlign w:val="center"/>
          </w:tcPr>
          <w:p>
            <w:pPr>
              <w:snapToGrid w:val="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增加“预案衔接”。</w:t>
            </w:r>
          </w:p>
        </w:tc>
        <w:tc>
          <w:tcPr>
            <w:tcW w:w="1902"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226"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6</w:t>
            </w:r>
          </w:p>
        </w:tc>
        <w:tc>
          <w:tcPr>
            <w:tcW w:w="1311"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1.6</w:t>
            </w:r>
          </w:p>
        </w:tc>
        <w:tc>
          <w:tcPr>
            <w:tcW w:w="4293" w:type="dxa"/>
            <w:tcBorders>
              <w:bottom w:val="single" w:color="auto" w:sz="6" w:space="0"/>
            </w:tcBorders>
            <w:vAlign w:val="center"/>
          </w:tcPr>
          <w:p>
            <w:pPr>
              <w:snapToGrid w:val="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原1.5节“火灾分级”调整为条款1.6节。</w:t>
            </w:r>
          </w:p>
        </w:tc>
        <w:tc>
          <w:tcPr>
            <w:tcW w:w="1902"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226"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7</w:t>
            </w:r>
          </w:p>
        </w:tc>
        <w:tc>
          <w:tcPr>
            <w:tcW w:w="1311"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6</w:t>
            </w:r>
          </w:p>
        </w:tc>
        <w:tc>
          <w:tcPr>
            <w:tcW w:w="4293" w:type="dxa"/>
            <w:tcBorders>
              <w:bottom w:val="single" w:color="auto" w:sz="6" w:space="0"/>
            </w:tcBorders>
            <w:vAlign w:val="center"/>
          </w:tcPr>
          <w:p>
            <w:pPr>
              <w:snapToGrid w:val="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t>“昆山市森林火灾响应流程图”移至附件。</w:t>
            </w:r>
          </w:p>
        </w:tc>
        <w:tc>
          <w:tcPr>
            <w:tcW w:w="1902"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226"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8</w:t>
            </w:r>
          </w:p>
        </w:tc>
        <w:tc>
          <w:tcPr>
            <w:tcW w:w="1311"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9</w:t>
            </w:r>
          </w:p>
        </w:tc>
        <w:tc>
          <w:tcPr>
            <w:tcW w:w="4293" w:type="dxa"/>
            <w:tcBorders>
              <w:bottom w:val="single" w:color="auto" w:sz="6" w:space="0"/>
            </w:tcBorders>
            <w:vAlign w:val="center"/>
          </w:tcPr>
          <w:p>
            <w:pPr>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增加“预案管理”章节。</w:t>
            </w:r>
          </w:p>
        </w:tc>
        <w:tc>
          <w:tcPr>
            <w:tcW w:w="1902"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226"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9</w:t>
            </w:r>
          </w:p>
        </w:tc>
        <w:tc>
          <w:tcPr>
            <w:tcW w:w="1311"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各章节</w:t>
            </w:r>
          </w:p>
        </w:tc>
        <w:tc>
          <w:tcPr>
            <w:tcW w:w="4293" w:type="dxa"/>
            <w:tcBorders>
              <w:bottom w:val="single" w:color="auto" w:sz="6" w:space="0"/>
            </w:tcBorders>
            <w:vAlign w:val="center"/>
          </w:tcPr>
          <w:p>
            <w:pPr>
              <w:snapToGrid w:val="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删除“城市管理办事处”。</w:t>
            </w:r>
          </w:p>
        </w:tc>
        <w:tc>
          <w:tcPr>
            <w:tcW w:w="1902"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7" w:hRule="exact"/>
          <w:jc w:val="center"/>
        </w:trPr>
        <w:tc>
          <w:tcPr>
            <w:tcW w:w="1226" w:type="dxa"/>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10</w:t>
            </w:r>
          </w:p>
        </w:tc>
        <w:tc>
          <w:tcPr>
            <w:tcW w:w="1311" w:type="dxa"/>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附件</w:t>
            </w:r>
          </w:p>
        </w:tc>
        <w:tc>
          <w:tcPr>
            <w:tcW w:w="4293" w:type="dxa"/>
            <w:vAlign w:val="center"/>
          </w:tcPr>
          <w:p>
            <w:pPr>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增加“昆山市处置森林火灾应急救援专家组名单、昆山市消防救援队伍情况汇总表、昆山市专业应急救援队伍及物资装备汇总表、昆山市社会应急救援队伍及物资装备汇总表、昆山市应急避难场所汇总表等附件”。</w:t>
            </w:r>
          </w:p>
        </w:tc>
        <w:tc>
          <w:tcPr>
            <w:tcW w:w="1902" w:type="dxa"/>
            <w:vAlign w:val="center"/>
          </w:tcPr>
          <w:p>
            <w:pPr>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exact"/>
          <w:jc w:val="center"/>
        </w:trPr>
        <w:tc>
          <w:tcPr>
            <w:tcW w:w="1226" w:type="dxa"/>
            <w:vAlign w:val="center"/>
          </w:tcPr>
          <w:p>
            <w:pPr>
              <w:snapToGrid w:val="0"/>
              <w:jc w:val="center"/>
              <w:rPr>
                <w:rFonts w:hint="default" w:ascii="Times New Roman" w:hAnsi="Times New Roman" w:eastAsia="仿宋_GB2312" w:cs="Times New Roman"/>
                <w:bCs/>
                <w:sz w:val="28"/>
                <w:szCs w:val="28"/>
              </w:rPr>
            </w:pPr>
          </w:p>
        </w:tc>
        <w:tc>
          <w:tcPr>
            <w:tcW w:w="1311" w:type="dxa"/>
            <w:vAlign w:val="center"/>
          </w:tcPr>
          <w:p>
            <w:pPr>
              <w:snapToGrid w:val="0"/>
              <w:jc w:val="center"/>
              <w:rPr>
                <w:rFonts w:hint="default" w:ascii="Times New Roman" w:hAnsi="Times New Roman" w:eastAsia="仿宋_GB2312" w:cs="Times New Roman"/>
                <w:bCs/>
                <w:sz w:val="28"/>
                <w:szCs w:val="28"/>
              </w:rPr>
            </w:pPr>
          </w:p>
        </w:tc>
        <w:tc>
          <w:tcPr>
            <w:tcW w:w="4293" w:type="dxa"/>
            <w:vAlign w:val="center"/>
          </w:tcPr>
          <w:p>
            <w:pPr>
              <w:snapToGrid w:val="0"/>
              <w:rPr>
                <w:rFonts w:hint="default" w:ascii="Times New Roman" w:hAnsi="Times New Roman" w:eastAsia="仿宋_GB2312" w:cs="Times New Roman"/>
                <w:bCs/>
                <w:sz w:val="28"/>
                <w:szCs w:val="28"/>
              </w:rPr>
            </w:pPr>
          </w:p>
        </w:tc>
        <w:tc>
          <w:tcPr>
            <w:tcW w:w="1902" w:type="dxa"/>
            <w:vAlign w:val="center"/>
          </w:tcPr>
          <w:p>
            <w:pPr>
              <w:snapToGrid w:val="0"/>
              <w:jc w:val="center"/>
              <w:rPr>
                <w:rFonts w:hint="default" w:ascii="Times New Roman" w:hAnsi="Times New Roman" w:eastAsia="仿宋_GB2312" w:cs="Times New Roman"/>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exact"/>
          <w:jc w:val="center"/>
        </w:trPr>
        <w:tc>
          <w:tcPr>
            <w:tcW w:w="1226"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p>
        </w:tc>
        <w:tc>
          <w:tcPr>
            <w:tcW w:w="1311"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p>
        </w:tc>
        <w:tc>
          <w:tcPr>
            <w:tcW w:w="4293" w:type="dxa"/>
            <w:tcBorders>
              <w:bottom w:val="single" w:color="auto" w:sz="6" w:space="0"/>
            </w:tcBorders>
            <w:vAlign w:val="center"/>
          </w:tcPr>
          <w:p>
            <w:pPr>
              <w:snapToGrid w:val="0"/>
              <w:rPr>
                <w:rFonts w:hint="default" w:ascii="Times New Roman" w:hAnsi="Times New Roman" w:eastAsia="仿宋_GB2312" w:cs="Times New Roman"/>
                <w:bCs/>
                <w:sz w:val="28"/>
                <w:szCs w:val="28"/>
              </w:rPr>
            </w:pPr>
          </w:p>
        </w:tc>
        <w:tc>
          <w:tcPr>
            <w:tcW w:w="1902" w:type="dxa"/>
            <w:tcBorders>
              <w:bottom w:val="single" w:color="auto" w:sz="6" w:space="0"/>
            </w:tcBorders>
            <w:vAlign w:val="center"/>
          </w:tcPr>
          <w:p>
            <w:pPr>
              <w:snapToGrid w:val="0"/>
              <w:jc w:val="center"/>
              <w:rPr>
                <w:rFonts w:hint="default" w:ascii="Times New Roman" w:hAnsi="Times New Roman" w:eastAsia="仿宋_GB2312" w:cs="Times New Roman"/>
                <w:bCs/>
                <w:sz w:val="28"/>
                <w:szCs w:val="28"/>
              </w:rPr>
            </w:pPr>
          </w:p>
        </w:tc>
      </w:tr>
    </w:tbl>
    <w:p>
      <w:pPr>
        <w:rPr>
          <w:rFonts w:hint="default" w:ascii="Times New Roman" w:hAnsi="Times New Roman" w:eastAsia="方正仿宋_GBK" w:cs="Times New Roman"/>
          <w:b/>
          <w:bCs/>
          <w:color w:val="000000"/>
          <w:sz w:val="32"/>
          <w:szCs w:val="32"/>
        </w:rPr>
      </w:pPr>
    </w:p>
    <w:sectPr>
      <w:footerReference r:id="rId8" w:type="default"/>
      <w:pgSz w:w="11906" w:h="16838"/>
      <w:pgMar w:top="1417" w:right="1417" w:bottom="1417" w:left="1417" w:header="992"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BBF760-E80D-4A9E-8F2A-8B14DB1500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ACA9A567-3F22-4A73-98B3-4DC8E78391E3}"/>
  </w:font>
  <w:font w:name="方正仿宋_GBK">
    <w:panose1 w:val="03000509000000000000"/>
    <w:charset w:val="86"/>
    <w:family w:val="script"/>
    <w:pitch w:val="default"/>
    <w:sig w:usb0="00000001" w:usb1="080E0000" w:usb2="00000000" w:usb3="00000000" w:csb0="00040000" w:csb1="00000000"/>
    <w:embedRegular r:id="rId3" w:fontKey="{8E914656-3677-4261-8FAF-B106ED596D6C}"/>
  </w:font>
  <w:font w:name="华文中宋">
    <w:panose1 w:val="02010600040101010101"/>
    <w:charset w:val="86"/>
    <w:family w:val="auto"/>
    <w:pitch w:val="default"/>
    <w:sig w:usb0="00000287" w:usb1="080F0000" w:usb2="00000000" w:usb3="00000000" w:csb0="0004009F" w:csb1="DFD70000"/>
    <w:embedRegular r:id="rId4" w:fontKey="{B9F6D67E-132F-4EA9-B942-19FBA05653A5}"/>
  </w:font>
  <w:font w:name="楷体_GB2312">
    <w:panose1 w:val="02010609030101010101"/>
    <w:charset w:val="86"/>
    <w:family w:val="auto"/>
    <w:pitch w:val="default"/>
    <w:sig w:usb0="00000001" w:usb1="080E0000" w:usb2="00000000" w:usb3="00000000" w:csb0="00040000" w:csb1="00000000"/>
    <w:embedRegular r:id="rId5" w:fontKey="{10772B55-6A3A-4F03-87FB-F145E9C5DAB2}"/>
  </w:font>
  <w:font w:name="仿宋_GB2312">
    <w:panose1 w:val="02010609030101010101"/>
    <w:charset w:val="86"/>
    <w:family w:val="modern"/>
    <w:pitch w:val="default"/>
    <w:sig w:usb0="00000001" w:usb1="080E0000" w:usb2="00000000" w:usb3="00000000" w:csb0="00040000" w:csb1="00000000"/>
    <w:embedRegular r:id="rId6" w:fontKey="{BDBCDC73-0656-45AE-B248-D01AF8F586C6}"/>
  </w:font>
  <w:font w:name="方正黑体_GBK">
    <w:panose1 w:val="03000509000000000000"/>
    <w:charset w:val="86"/>
    <w:family w:val="script"/>
    <w:pitch w:val="default"/>
    <w:sig w:usb0="00000001" w:usb1="080E0000" w:usb2="00000000" w:usb3="00000000" w:csb0="00040000" w:csb1="00000000"/>
    <w:embedRegular r:id="rId7" w:fontKey="{5FE4C911-813F-4472-B869-A766B17CA507}"/>
  </w:font>
  <w:font w:name="楷体">
    <w:panose1 w:val="02010609060101010101"/>
    <w:charset w:val="86"/>
    <w:family w:val="modern"/>
    <w:pitch w:val="default"/>
    <w:sig w:usb0="800002BF" w:usb1="38CF7CFA" w:usb2="00000016" w:usb3="00000000" w:csb0="00040001" w:csb1="00000000"/>
    <w:embedRegular r:id="rId8" w:fontKey="{3357FB82-72F8-4128-A42D-E78CEF4943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600"/>
        <w:tab w:val="clear" w:pos="4153"/>
        <w:tab w:val="clear" w:pos="8306"/>
      </w:tabs>
      <w:ind w:firstLine="560"/>
      <w:rPr>
        <w:rFonts w:ascii="方正仿宋_GBK" w:eastAsia="方正仿宋_GBK"/>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rPr>
      <w:t>-</w:t>
    </w:r>
    <w:r>
      <w:rPr>
        <w:rFonts w:ascii="宋体" w:hAnsi="宋体"/>
        <w:sz w:val="28"/>
        <w:szCs w:val="28"/>
      </w:rPr>
      <w:t xml:space="preserve"> </w:t>
    </w:r>
    <w:r>
      <w:rPr>
        <w:sz w:val="28"/>
        <w:szCs w:val="28"/>
      </w:rPr>
      <w:t>34</w:t>
    </w:r>
    <w:r>
      <w:rPr>
        <w:rFonts w:ascii="宋体" w:hAnsi="宋体"/>
        <w:sz w:val="28"/>
        <w:szCs w:val="28"/>
      </w:rPr>
      <w:t xml:space="preserve"> -</w:t>
    </w:r>
    <w:r>
      <w:rPr>
        <w:rFonts w:ascii="宋体" w:hAnsi="宋体"/>
        <w:sz w:val="28"/>
        <w:szCs w:val="28"/>
      </w:rPr>
      <w:fldChar w:fldCharType="end"/>
    </w:r>
    <w:r>
      <w:rPr>
        <w:rFonts w:ascii="宋体" w:hAnsi="宋体"/>
        <w:sz w:val="28"/>
        <w:szCs w:val="28"/>
      </w:rPr>
      <w:tab/>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2</w:t>
    </w:r>
    <w:r>
      <w:rPr>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2</w:t>
    </w:r>
    <w:r>
      <w:rPr>
        <w:sz w:val="32"/>
        <w:szCs w:val="3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2</w:t>
    </w:r>
    <w:r>
      <w:rPr>
        <w:sz w:val="32"/>
        <w:szCs w:val="3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ZWMxMTQxNjg2NTFjNmE1ZjBkY2Q2NjI5NTZkMTAifQ=="/>
  </w:docVars>
  <w:rsids>
    <w:rsidRoot w:val="005B16BB"/>
    <w:rsid w:val="00031405"/>
    <w:rsid w:val="0003217C"/>
    <w:rsid w:val="000501E6"/>
    <w:rsid w:val="00064060"/>
    <w:rsid w:val="00075EBC"/>
    <w:rsid w:val="000E1D03"/>
    <w:rsid w:val="00131160"/>
    <w:rsid w:val="00160F6D"/>
    <w:rsid w:val="0016223E"/>
    <w:rsid w:val="00173F66"/>
    <w:rsid w:val="001A3AE4"/>
    <w:rsid w:val="001C2CDA"/>
    <w:rsid w:val="001C4AEC"/>
    <w:rsid w:val="001D1427"/>
    <w:rsid w:val="00250E64"/>
    <w:rsid w:val="00260667"/>
    <w:rsid w:val="00265E92"/>
    <w:rsid w:val="002719B1"/>
    <w:rsid w:val="0029548C"/>
    <w:rsid w:val="002D5AC2"/>
    <w:rsid w:val="00312720"/>
    <w:rsid w:val="00325ED3"/>
    <w:rsid w:val="003475BB"/>
    <w:rsid w:val="00351885"/>
    <w:rsid w:val="003578A8"/>
    <w:rsid w:val="003D2F9E"/>
    <w:rsid w:val="004658C5"/>
    <w:rsid w:val="00467BCA"/>
    <w:rsid w:val="00495360"/>
    <w:rsid w:val="00496611"/>
    <w:rsid w:val="005661C0"/>
    <w:rsid w:val="0056689C"/>
    <w:rsid w:val="00584773"/>
    <w:rsid w:val="00587153"/>
    <w:rsid w:val="005B16BB"/>
    <w:rsid w:val="005C4FF6"/>
    <w:rsid w:val="005E1344"/>
    <w:rsid w:val="005E21C1"/>
    <w:rsid w:val="00604DD0"/>
    <w:rsid w:val="00631DF1"/>
    <w:rsid w:val="0068721A"/>
    <w:rsid w:val="00727011"/>
    <w:rsid w:val="00751A2F"/>
    <w:rsid w:val="0075463D"/>
    <w:rsid w:val="00761CD5"/>
    <w:rsid w:val="00796401"/>
    <w:rsid w:val="007D03C2"/>
    <w:rsid w:val="007D0FB7"/>
    <w:rsid w:val="007E6372"/>
    <w:rsid w:val="007F78BA"/>
    <w:rsid w:val="00844AD8"/>
    <w:rsid w:val="00890A55"/>
    <w:rsid w:val="00892C2C"/>
    <w:rsid w:val="008F7CD3"/>
    <w:rsid w:val="00907A51"/>
    <w:rsid w:val="00915CE2"/>
    <w:rsid w:val="00987641"/>
    <w:rsid w:val="009A5A5F"/>
    <w:rsid w:val="009B07B3"/>
    <w:rsid w:val="00A36B63"/>
    <w:rsid w:val="00A4658D"/>
    <w:rsid w:val="00A50C4F"/>
    <w:rsid w:val="00A55BB7"/>
    <w:rsid w:val="00A77CD9"/>
    <w:rsid w:val="00A9759C"/>
    <w:rsid w:val="00AE247A"/>
    <w:rsid w:val="00B10BFA"/>
    <w:rsid w:val="00B2210A"/>
    <w:rsid w:val="00B3626F"/>
    <w:rsid w:val="00BA36C3"/>
    <w:rsid w:val="00BD12B1"/>
    <w:rsid w:val="00BD4433"/>
    <w:rsid w:val="00BE6534"/>
    <w:rsid w:val="00C31FE0"/>
    <w:rsid w:val="00C61A32"/>
    <w:rsid w:val="00CB4A88"/>
    <w:rsid w:val="00CD3D16"/>
    <w:rsid w:val="00CE0479"/>
    <w:rsid w:val="00CE15D7"/>
    <w:rsid w:val="00D8181F"/>
    <w:rsid w:val="00DC0CE1"/>
    <w:rsid w:val="00DD3184"/>
    <w:rsid w:val="00DF6D6A"/>
    <w:rsid w:val="00E10F21"/>
    <w:rsid w:val="00E15107"/>
    <w:rsid w:val="00E41CC7"/>
    <w:rsid w:val="00E82230"/>
    <w:rsid w:val="00E85870"/>
    <w:rsid w:val="00EC0CB0"/>
    <w:rsid w:val="00EF0519"/>
    <w:rsid w:val="00F133FA"/>
    <w:rsid w:val="00F13FFA"/>
    <w:rsid w:val="00F14673"/>
    <w:rsid w:val="00F73166"/>
    <w:rsid w:val="00F778B4"/>
    <w:rsid w:val="00FF4488"/>
    <w:rsid w:val="01C0140E"/>
    <w:rsid w:val="0ABA285A"/>
    <w:rsid w:val="0F712210"/>
    <w:rsid w:val="132C0754"/>
    <w:rsid w:val="167D7EC0"/>
    <w:rsid w:val="1DDA6E3B"/>
    <w:rsid w:val="20B57ADF"/>
    <w:rsid w:val="24B41F9E"/>
    <w:rsid w:val="29451885"/>
    <w:rsid w:val="2AD965E7"/>
    <w:rsid w:val="2CA174A1"/>
    <w:rsid w:val="345F5F97"/>
    <w:rsid w:val="360F51C9"/>
    <w:rsid w:val="39D3556A"/>
    <w:rsid w:val="3C3C47E5"/>
    <w:rsid w:val="3ED83CAB"/>
    <w:rsid w:val="3FBA4828"/>
    <w:rsid w:val="40AE419A"/>
    <w:rsid w:val="42521512"/>
    <w:rsid w:val="42D812EB"/>
    <w:rsid w:val="5FF63556"/>
    <w:rsid w:val="68097770"/>
    <w:rsid w:val="6A0B448E"/>
    <w:rsid w:val="6C4D03B2"/>
    <w:rsid w:val="6EAD10C0"/>
    <w:rsid w:val="75F52783"/>
    <w:rsid w:val="7A285958"/>
    <w:rsid w:val="7AAE2E34"/>
    <w:rsid w:val="7B1D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outlineLvl w:val="0"/>
    </w:pPr>
    <w:rPr>
      <w:rFonts w:eastAsia="黑体"/>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 w:val="28"/>
      <w:szCs w:val="24"/>
    </w:rPr>
  </w:style>
  <w:style w:type="paragraph" w:styleId="4">
    <w:name w:val="footer"/>
    <w:basedOn w:val="1"/>
    <w:link w:val="13"/>
    <w:unhideWhenUsed/>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paragraph" w:styleId="8">
    <w:name w:val="Normal (Web)"/>
    <w:basedOn w:val="1"/>
    <w:unhideWhenUsed/>
    <w:qFormat/>
    <w:uiPriority w:val="99"/>
    <w:pPr>
      <w:spacing w:before="100" w:beforeAutospacing="1" w:after="100" w:afterAutospacing="1"/>
      <w:jc w:val="left"/>
    </w:pPr>
    <w:rPr>
      <w:kern w:val="0"/>
      <w:sz w:val="24"/>
    </w:rPr>
  </w:style>
  <w:style w:type="character" w:styleId="11">
    <w:name w:val="Emphasis"/>
    <w:qFormat/>
    <w:uiPriority w:val="20"/>
    <w:rPr>
      <w:i/>
    </w:rPr>
  </w:style>
  <w:style w:type="character" w:styleId="12">
    <w:name w:val="Hyperlink"/>
    <w:unhideWhenUsed/>
    <w:qFormat/>
    <w:uiPriority w:val="99"/>
    <w:rPr>
      <w:color w:val="0000FF"/>
      <w:u w:val="single"/>
    </w:rPr>
  </w:style>
  <w:style w:type="character" w:customStyle="1" w:styleId="13">
    <w:name w:val="页脚 字符1"/>
    <w:link w:val="4"/>
    <w:qFormat/>
    <w:uiPriority w:val="99"/>
    <w:rPr>
      <w:rFonts w:ascii="Times New Roman" w:hAnsi="Times New Roman" w:eastAsia="宋体" w:cs="Times New Roman"/>
      <w:sz w:val="18"/>
      <w:szCs w:val="18"/>
    </w:rPr>
  </w:style>
  <w:style w:type="character" w:customStyle="1" w:styleId="14">
    <w:name w:val="页脚 字符"/>
    <w:qFormat/>
    <w:uiPriority w:val="99"/>
    <w:rPr>
      <w:sz w:val="18"/>
      <w:szCs w:val="18"/>
    </w:rPr>
  </w:style>
  <w:style w:type="paragraph" w:customStyle="1" w:styleId="15">
    <w:name w:val="标题1"/>
    <w:basedOn w:val="1"/>
    <w:next w:val="1"/>
    <w:qFormat/>
    <w:uiPriority w:val="0"/>
    <w:pPr>
      <w:tabs>
        <w:tab w:val="left" w:pos="9193"/>
        <w:tab w:val="left" w:pos="9827"/>
      </w:tabs>
      <w:autoSpaceDE w:val="0"/>
      <w:autoSpaceDN w:val="0"/>
      <w:snapToGrid w:val="0"/>
      <w:spacing w:line="640" w:lineRule="atLeast"/>
      <w:jc w:val="center"/>
    </w:pPr>
    <w:rPr>
      <w:rFonts w:ascii="Times New Roman" w:hAnsi="Times New Roman" w:eastAsia="方正小标宋_GBK"/>
      <w:snapToGrid w:val="0"/>
      <w:kern w:val="0"/>
      <w:sz w:val="44"/>
      <w:szCs w:val="20"/>
    </w:rPr>
  </w:style>
  <w:style w:type="character" w:customStyle="1" w:styleId="16">
    <w:name w:val="fontstyle01"/>
    <w:qFormat/>
    <w:uiPriority w:val="0"/>
    <w:rPr>
      <w:rFonts w:hint="eastAsia" w:ascii="方正仿宋_GBK" w:eastAsia="方正仿宋_GBK"/>
      <w:color w:val="000000"/>
      <w:sz w:val="32"/>
      <w:szCs w:val="32"/>
    </w:rPr>
  </w:style>
  <w:style w:type="character" w:customStyle="1" w:styleId="17">
    <w:name w:val="font11"/>
    <w:basedOn w:val="10"/>
    <w:qFormat/>
    <w:uiPriority w:val="0"/>
    <w:rPr>
      <w:rFonts w:hint="eastAsia" w:ascii="宋体" w:hAnsi="宋体" w:eastAsia="宋体" w:cs="宋体"/>
      <w:color w:val="FF0000"/>
      <w:sz w:val="20"/>
      <w:szCs w:val="20"/>
      <w:u w:val="none"/>
    </w:rPr>
  </w:style>
  <w:style w:type="character" w:customStyle="1" w:styleId="18">
    <w:name w:val="font51"/>
    <w:basedOn w:val="10"/>
    <w:qFormat/>
    <w:uiPriority w:val="0"/>
    <w:rPr>
      <w:rFonts w:hint="default" w:ascii="Times New Roman" w:hAnsi="Times New Roman" w:cs="Times New Roman"/>
      <w:color w:val="FF0000"/>
      <w:sz w:val="20"/>
      <w:szCs w:val="20"/>
      <w:u w:val="none"/>
    </w:rPr>
  </w:style>
  <w:style w:type="character" w:customStyle="1" w:styleId="19">
    <w:name w:val="font01"/>
    <w:basedOn w:val="10"/>
    <w:qFormat/>
    <w:uiPriority w:val="0"/>
    <w:rPr>
      <w:rFonts w:hint="eastAsia" w:ascii="宋体" w:hAnsi="宋体" w:eastAsia="宋体" w:cs="宋体"/>
      <w:color w:val="000000"/>
      <w:sz w:val="20"/>
      <w:szCs w:val="20"/>
      <w:u w:val="none"/>
    </w:rPr>
  </w:style>
  <w:style w:type="character" w:customStyle="1" w:styleId="20">
    <w:name w:val="font3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6DE46-6166-4681-A802-C4649C6858B3}">
  <ds:schemaRefs/>
</ds:datastoreItem>
</file>

<file path=docProps/app.xml><?xml version="1.0" encoding="utf-8"?>
<Properties xmlns="http://schemas.openxmlformats.org/officeDocument/2006/extended-properties" xmlns:vt="http://schemas.openxmlformats.org/officeDocument/2006/docPropsVTypes">
  <Template>Normal</Template>
  <Pages>45</Pages>
  <Words>18542</Words>
  <Characters>19871</Characters>
  <Lines>181</Lines>
  <Paragraphs>51</Paragraphs>
  <TotalTime>5</TotalTime>
  <ScaleCrop>false</ScaleCrop>
  <LinksUpToDate>false</LinksUpToDate>
  <CharactersWithSpaces>20683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2023-03-30T02:22:00Z</dcterms:created>
  <dc:creator>王宗宁</dc:creator>
  <cp:lastModifiedBy>孙杰</cp:lastModifiedBy>
  <cp:lastPrinted>2023-07-13T06:25:00Z</cp:lastPrinted>
  <dcterms:modified xsi:type="dcterms:W3CDTF">2023-11-16T05:27:36Z</dcterms:modified>
  <dc:title>昆山市处置森林火灾应急预案</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EA393B91B2764C538E191C09F06540D4_13</vt:lpwstr>
  </property>
</Properties>
</file>